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A7234" w14:textId="0972B0ED" w:rsidR="00C36CF2" w:rsidRPr="00C36CF2" w:rsidRDefault="00C36CF2" w:rsidP="0076025B">
      <w:pPr>
        <w:ind w:left="-450" w:right="-277"/>
        <w:jc w:val="center"/>
        <w:rPr>
          <w:rFonts w:asciiTheme="majorHAnsi" w:eastAsia="Times New Roman" w:hAnsiTheme="majorHAnsi" w:cstheme="majorHAnsi"/>
          <w:b/>
          <w:bCs/>
          <w:sz w:val="36"/>
          <w:szCs w:val="36"/>
        </w:rPr>
      </w:pPr>
      <w:r w:rsidRPr="00C36CF2">
        <w:rPr>
          <w:rFonts w:asciiTheme="majorHAnsi" w:eastAsia="Times New Roman" w:hAnsiTheme="majorHAnsi" w:cstheme="majorHAnsi"/>
          <w:b/>
          <w:bCs/>
          <w:sz w:val="36"/>
          <w:szCs w:val="36"/>
        </w:rPr>
        <w:t>OPA ECONOMICS COMMITTEE</w:t>
      </w:r>
    </w:p>
    <w:p w14:paraId="3DED47E2" w14:textId="08C9E98B" w:rsidR="00C36CF2" w:rsidRPr="00C36CF2" w:rsidRDefault="00C36CF2" w:rsidP="0076025B">
      <w:pPr>
        <w:ind w:left="-450" w:right="-277"/>
        <w:jc w:val="center"/>
        <w:rPr>
          <w:rFonts w:asciiTheme="majorHAnsi" w:eastAsia="Times New Roman" w:hAnsiTheme="majorHAnsi" w:cstheme="majorHAnsi"/>
          <w:b/>
          <w:bCs/>
          <w:sz w:val="28"/>
          <w:szCs w:val="28"/>
        </w:rPr>
      </w:pPr>
      <w:r w:rsidRPr="00C36CF2">
        <w:rPr>
          <w:rFonts w:asciiTheme="majorHAnsi" w:eastAsia="Times New Roman" w:hAnsiTheme="majorHAnsi" w:cstheme="majorHAnsi"/>
          <w:b/>
          <w:bCs/>
          <w:sz w:val="28"/>
          <w:szCs w:val="28"/>
        </w:rPr>
        <w:t>TERMS OF REFERENCE</w:t>
      </w:r>
    </w:p>
    <w:p w14:paraId="02375EB8" w14:textId="1917F060" w:rsidR="008E0CAC" w:rsidRPr="009E01FD" w:rsidRDefault="008E0CAC" w:rsidP="0076025B">
      <w:pPr>
        <w:shd w:val="clear" w:color="auto" w:fill="DAEEF3" w:themeFill="accent5" w:themeFillTint="33"/>
        <w:spacing w:after="200" w:line="276" w:lineRule="auto"/>
        <w:ind w:left="-450" w:right="-277"/>
        <w:jc w:val="both"/>
        <w:rPr>
          <w:rFonts w:asciiTheme="majorHAnsi" w:eastAsia="Times New Roman" w:hAnsiTheme="majorHAnsi" w:cstheme="majorHAnsi"/>
          <w:b/>
          <w:bCs/>
          <w:sz w:val="22"/>
          <w:szCs w:val="22"/>
        </w:rPr>
      </w:pPr>
      <w:r w:rsidRPr="009E01FD">
        <w:rPr>
          <w:rFonts w:asciiTheme="majorHAnsi" w:eastAsia="Times New Roman" w:hAnsiTheme="majorHAnsi" w:cstheme="majorHAnsi"/>
          <w:b/>
          <w:bCs/>
          <w:sz w:val="22"/>
          <w:szCs w:val="22"/>
        </w:rPr>
        <w:t>INTRODUCTION</w:t>
      </w:r>
    </w:p>
    <w:p w14:paraId="21396F18" w14:textId="1529287F" w:rsidR="008E0CAC" w:rsidRPr="009768EC" w:rsidRDefault="008E0CAC" w:rsidP="0076025B">
      <w:pPr>
        <w:spacing w:after="200"/>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The Ontario Pharmacists Association (‘OPA’, the ‘Association’), under the strategic guidance of its Board of Directors (the ‘Board’), is responsible, in part, for providing leadership and support to all of its members, including, but not limited to those who own and operate community pharmacies in the province. Insofar as pharmacy economics is a major determinant of success of OPA’s professional aspirations for community pharmacy business owners, and by extraction, for individual pharmacy professionals employed by them, a structured Economics Committee </w:t>
      </w:r>
      <w:r w:rsidR="00545C95" w:rsidRPr="009768EC">
        <w:rPr>
          <w:rFonts w:asciiTheme="majorHAnsi" w:eastAsia="Times New Roman" w:hAnsiTheme="majorHAnsi" w:cstheme="majorHAnsi"/>
          <w:sz w:val="19"/>
          <w:szCs w:val="19"/>
        </w:rPr>
        <w:t xml:space="preserve">(‘EC’) </w:t>
      </w:r>
      <w:r w:rsidRPr="009768EC">
        <w:rPr>
          <w:rFonts w:asciiTheme="majorHAnsi" w:eastAsia="Times New Roman" w:hAnsiTheme="majorHAnsi" w:cstheme="majorHAnsi"/>
          <w:sz w:val="19"/>
          <w:szCs w:val="19"/>
        </w:rPr>
        <w:t xml:space="preserve">is hereby established and mandated, under the direction of the Board, to advise and guide the Board and the Association on matters of economic and business relevance.  </w:t>
      </w:r>
    </w:p>
    <w:p w14:paraId="3367B2AE" w14:textId="4E20CBC2" w:rsidR="008E0CAC" w:rsidRPr="009768EC" w:rsidRDefault="008E0CAC" w:rsidP="0076025B">
      <w:pPr>
        <w:spacing w:after="240"/>
        <w:ind w:left="-450" w:right="-277"/>
        <w:jc w:val="both"/>
        <w:rPr>
          <w:rFonts w:asciiTheme="majorHAnsi" w:eastAsia="MS Mincho" w:hAnsiTheme="majorHAnsi" w:cstheme="majorHAnsi"/>
          <w:sz w:val="19"/>
          <w:szCs w:val="19"/>
        </w:rPr>
      </w:pPr>
      <w:r w:rsidRPr="009768EC">
        <w:rPr>
          <w:rFonts w:asciiTheme="majorHAnsi" w:eastAsia="MS Mincho" w:hAnsiTheme="majorHAnsi" w:cstheme="majorHAnsi"/>
          <w:sz w:val="19"/>
          <w:szCs w:val="19"/>
        </w:rPr>
        <w:t xml:space="preserve">The purposes of establishing the OPA Economics Committee are: </w:t>
      </w:r>
    </w:p>
    <w:p w14:paraId="2C3E8837" w14:textId="0CB49303" w:rsidR="008E0CAC" w:rsidRPr="009768EC" w:rsidRDefault="008E0CAC" w:rsidP="0076025B">
      <w:pPr>
        <w:numPr>
          <w:ilvl w:val="0"/>
          <w:numId w:val="7"/>
        </w:numPr>
        <w:ind w:left="-450" w:right="-277" w:hanging="90"/>
        <w:jc w:val="both"/>
        <w:rPr>
          <w:rFonts w:asciiTheme="majorHAnsi" w:eastAsia="MS Mincho" w:hAnsiTheme="majorHAnsi" w:cstheme="majorHAnsi"/>
          <w:sz w:val="19"/>
          <w:szCs w:val="19"/>
        </w:rPr>
      </w:pPr>
      <w:r w:rsidRPr="009768EC">
        <w:rPr>
          <w:rFonts w:asciiTheme="majorHAnsi" w:eastAsia="MS Mincho" w:hAnsiTheme="majorHAnsi" w:cstheme="majorHAnsi"/>
          <w:sz w:val="19"/>
          <w:szCs w:val="19"/>
        </w:rPr>
        <w:t xml:space="preserve">To </w:t>
      </w:r>
      <w:r w:rsidR="00221F37" w:rsidRPr="009768EC">
        <w:rPr>
          <w:rFonts w:asciiTheme="majorHAnsi" w:eastAsia="MS Mincho" w:hAnsiTheme="majorHAnsi" w:cstheme="majorHAnsi"/>
          <w:sz w:val="19"/>
          <w:szCs w:val="19"/>
        </w:rPr>
        <w:t>serve as</w:t>
      </w:r>
      <w:r w:rsidRPr="009768EC">
        <w:rPr>
          <w:rFonts w:asciiTheme="majorHAnsi" w:eastAsia="MS Mincho" w:hAnsiTheme="majorHAnsi" w:cstheme="majorHAnsi"/>
          <w:sz w:val="19"/>
          <w:szCs w:val="19"/>
        </w:rPr>
        <w:t xml:space="preserve"> a </w:t>
      </w:r>
      <w:r w:rsidR="007D717D" w:rsidRPr="009768EC">
        <w:rPr>
          <w:rFonts w:asciiTheme="majorHAnsi" w:eastAsia="MS Mincho" w:hAnsiTheme="majorHAnsi" w:cstheme="majorHAnsi"/>
          <w:sz w:val="19"/>
          <w:szCs w:val="19"/>
        </w:rPr>
        <w:t xml:space="preserve">small but </w:t>
      </w:r>
      <w:r w:rsidRPr="009768EC">
        <w:rPr>
          <w:rFonts w:asciiTheme="majorHAnsi" w:eastAsia="MS Mincho" w:hAnsiTheme="majorHAnsi" w:cstheme="majorHAnsi"/>
          <w:sz w:val="19"/>
          <w:szCs w:val="19"/>
        </w:rPr>
        <w:t xml:space="preserve">representative group of pharmacy owners in Ontario to meet and discuss issues of interest/concern to owners and the profession of pharmacy, </w:t>
      </w:r>
    </w:p>
    <w:p w14:paraId="5BAC1EEF" w14:textId="77777777" w:rsidR="007D717D" w:rsidRPr="009768EC" w:rsidRDefault="008E0CAC" w:rsidP="0076025B">
      <w:pPr>
        <w:numPr>
          <w:ilvl w:val="0"/>
          <w:numId w:val="7"/>
        </w:numPr>
        <w:ind w:left="-450" w:right="-277" w:hanging="90"/>
        <w:jc w:val="both"/>
        <w:rPr>
          <w:rFonts w:asciiTheme="majorHAnsi" w:eastAsia="MS Mincho" w:hAnsiTheme="majorHAnsi" w:cstheme="majorHAnsi"/>
          <w:sz w:val="19"/>
          <w:szCs w:val="19"/>
        </w:rPr>
      </w:pPr>
      <w:r w:rsidRPr="009768EC">
        <w:rPr>
          <w:rFonts w:asciiTheme="majorHAnsi" w:eastAsia="MS Mincho" w:hAnsiTheme="majorHAnsi" w:cstheme="majorHAnsi"/>
          <w:sz w:val="19"/>
          <w:szCs w:val="19"/>
        </w:rPr>
        <w:t xml:space="preserve">To </w:t>
      </w:r>
      <w:r w:rsidR="0013582F" w:rsidRPr="009768EC">
        <w:rPr>
          <w:rFonts w:asciiTheme="majorHAnsi" w:eastAsia="MS Mincho" w:hAnsiTheme="majorHAnsi" w:cstheme="majorHAnsi"/>
          <w:sz w:val="19"/>
          <w:szCs w:val="19"/>
        </w:rPr>
        <w:t>provide input and advice pertaining to</w:t>
      </w:r>
      <w:r w:rsidRPr="009768EC">
        <w:rPr>
          <w:rFonts w:asciiTheme="majorHAnsi" w:eastAsia="MS Mincho" w:hAnsiTheme="majorHAnsi" w:cstheme="majorHAnsi"/>
          <w:sz w:val="19"/>
          <w:szCs w:val="19"/>
        </w:rPr>
        <w:t xml:space="preserve"> pharmacy economic policy direction of the Association for </w:t>
      </w:r>
      <w:r w:rsidR="0013582F" w:rsidRPr="009768EC">
        <w:rPr>
          <w:rFonts w:asciiTheme="majorHAnsi" w:eastAsia="MS Mincho" w:hAnsiTheme="majorHAnsi" w:cstheme="majorHAnsi"/>
          <w:sz w:val="19"/>
          <w:szCs w:val="19"/>
        </w:rPr>
        <w:t>staff</w:t>
      </w:r>
      <w:r w:rsidRPr="009768EC">
        <w:rPr>
          <w:rFonts w:asciiTheme="majorHAnsi" w:eastAsia="MS Mincho" w:hAnsiTheme="majorHAnsi" w:cstheme="majorHAnsi"/>
          <w:sz w:val="19"/>
          <w:szCs w:val="19"/>
        </w:rPr>
        <w:t xml:space="preserve"> consideration, </w:t>
      </w:r>
    </w:p>
    <w:p w14:paraId="71BAD8BA" w14:textId="1273E757" w:rsidR="008E0CAC" w:rsidRPr="009768EC" w:rsidRDefault="007D717D" w:rsidP="0076025B">
      <w:pPr>
        <w:numPr>
          <w:ilvl w:val="0"/>
          <w:numId w:val="7"/>
        </w:numPr>
        <w:ind w:left="-450" w:right="-277" w:hanging="90"/>
        <w:jc w:val="both"/>
        <w:rPr>
          <w:rFonts w:asciiTheme="majorHAnsi" w:eastAsia="MS Mincho" w:hAnsiTheme="majorHAnsi" w:cstheme="majorHAnsi"/>
          <w:sz w:val="19"/>
          <w:szCs w:val="19"/>
        </w:rPr>
      </w:pPr>
      <w:r w:rsidRPr="009768EC">
        <w:rPr>
          <w:rFonts w:asciiTheme="majorHAnsi" w:eastAsia="MS Mincho" w:hAnsiTheme="majorHAnsi" w:cstheme="majorHAnsi"/>
          <w:sz w:val="19"/>
          <w:szCs w:val="19"/>
        </w:rPr>
        <w:t xml:space="preserve">To help with engagement and to mitigate existing fragmentation and diversity of opinions to align messages being presented to government, </w:t>
      </w:r>
      <w:r w:rsidR="00385E16" w:rsidRPr="009768EC">
        <w:rPr>
          <w:rFonts w:asciiTheme="majorHAnsi" w:eastAsia="MS Mincho" w:hAnsiTheme="majorHAnsi" w:cstheme="majorHAnsi"/>
          <w:sz w:val="19"/>
          <w:szCs w:val="19"/>
        </w:rPr>
        <w:t>and</w:t>
      </w:r>
    </w:p>
    <w:p w14:paraId="6DF02831" w14:textId="5659DE09" w:rsidR="008E0CAC" w:rsidRPr="009768EC" w:rsidRDefault="008E0CAC" w:rsidP="0076025B">
      <w:pPr>
        <w:pStyle w:val="ListParagraph"/>
        <w:numPr>
          <w:ilvl w:val="0"/>
          <w:numId w:val="7"/>
        </w:numPr>
        <w:ind w:left="-450" w:right="-277" w:hanging="90"/>
        <w:jc w:val="both"/>
        <w:rPr>
          <w:rFonts w:asciiTheme="majorHAnsi" w:eastAsia="MS Mincho" w:hAnsiTheme="majorHAnsi" w:cstheme="majorHAnsi"/>
          <w:bCs/>
          <w:sz w:val="19"/>
          <w:szCs w:val="19"/>
        </w:rPr>
      </w:pPr>
      <w:r w:rsidRPr="009768EC">
        <w:rPr>
          <w:rFonts w:asciiTheme="majorHAnsi" w:eastAsia="MS Mincho" w:hAnsiTheme="majorHAnsi" w:cstheme="majorHAnsi"/>
          <w:sz w:val="19"/>
          <w:szCs w:val="19"/>
        </w:rPr>
        <w:t>To</w:t>
      </w:r>
      <w:r w:rsidR="0013582F" w:rsidRPr="009768EC">
        <w:rPr>
          <w:rFonts w:asciiTheme="majorHAnsi" w:eastAsia="MS Mincho" w:hAnsiTheme="majorHAnsi" w:cstheme="majorHAnsi"/>
          <w:sz w:val="19"/>
          <w:szCs w:val="19"/>
        </w:rPr>
        <w:t xml:space="preserve"> support senior staff with government </w:t>
      </w:r>
      <w:r w:rsidR="00FC585D" w:rsidRPr="009768EC">
        <w:rPr>
          <w:rFonts w:asciiTheme="majorHAnsi" w:eastAsia="MS Mincho" w:hAnsiTheme="majorHAnsi" w:cstheme="majorHAnsi"/>
          <w:sz w:val="19"/>
          <w:szCs w:val="19"/>
        </w:rPr>
        <w:t xml:space="preserve">and private payor consultations and </w:t>
      </w:r>
      <w:r w:rsidR="0013582F" w:rsidRPr="009768EC">
        <w:rPr>
          <w:rFonts w:asciiTheme="majorHAnsi" w:eastAsia="MS Mincho" w:hAnsiTheme="majorHAnsi" w:cstheme="majorHAnsi"/>
          <w:sz w:val="19"/>
          <w:szCs w:val="19"/>
        </w:rPr>
        <w:t>negotiations</w:t>
      </w:r>
      <w:r w:rsidR="00385E16" w:rsidRPr="009768EC">
        <w:rPr>
          <w:rFonts w:asciiTheme="majorHAnsi" w:eastAsia="MS Mincho" w:hAnsiTheme="majorHAnsi" w:cstheme="majorHAnsi"/>
          <w:sz w:val="19"/>
          <w:szCs w:val="19"/>
        </w:rPr>
        <w:t>.</w:t>
      </w:r>
      <w:r w:rsidR="0013582F" w:rsidRPr="009768EC">
        <w:rPr>
          <w:rFonts w:asciiTheme="majorHAnsi" w:eastAsia="MS Mincho" w:hAnsiTheme="majorHAnsi" w:cstheme="majorHAnsi"/>
          <w:sz w:val="19"/>
          <w:szCs w:val="19"/>
        </w:rPr>
        <w:t xml:space="preserve"> </w:t>
      </w:r>
    </w:p>
    <w:p w14:paraId="50A7D13E" w14:textId="0CACEB82" w:rsidR="007D717D" w:rsidRPr="009768EC" w:rsidRDefault="007D717D" w:rsidP="0076025B">
      <w:pPr>
        <w:ind w:left="-450" w:right="-277"/>
        <w:jc w:val="both"/>
        <w:rPr>
          <w:rFonts w:asciiTheme="majorHAnsi" w:eastAsia="MS Mincho" w:hAnsiTheme="majorHAnsi" w:cstheme="majorHAnsi"/>
          <w:bCs/>
          <w:sz w:val="19"/>
          <w:szCs w:val="19"/>
        </w:rPr>
      </w:pPr>
    </w:p>
    <w:p w14:paraId="08414E9A" w14:textId="6EFF8573" w:rsidR="00545C95" w:rsidRPr="009768EC" w:rsidRDefault="00545C95" w:rsidP="0076025B">
      <w:pPr>
        <w:spacing w:after="160"/>
        <w:ind w:left="-450" w:right="-277"/>
        <w:jc w:val="both"/>
        <w:rPr>
          <w:rFonts w:ascii="Calibri" w:eastAsia="Calibri" w:hAnsi="Calibri" w:cs="Arial"/>
          <w:sz w:val="19"/>
          <w:szCs w:val="19"/>
        </w:rPr>
      </w:pPr>
      <w:r w:rsidRPr="009768EC">
        <w:rPr>
          <w:rFonts w:ascii="Calibri" w:eastAsia="Calibri" w:hAnsi="Calibri" w:cs="Arial"/>
          <w:sz w:val="19"/>
          <w:szCs w:val="19"/>
        </w:rPr>
        <w:t xml:space="preserve">The EC will be an independent group composed of elected members </w:t>
      </w:r>
      <w:r w:rsidR="00934F5A" w:rsidRPr="009768EC">
        <w:rPr>
          <w:rFonts w:ascii="Calibri" w:eastAsia="Calibri" w:hAnsi="Calibri" w:cs="Arial"/>
          <w:sz w:val="19"/>
          <w:szCs w:val="19"/>
        </w:rPr>
        <w:t>nominated by the</w:t>
      </w:r>
      <w:r w:rsidRPr="009768EC">
        <w:rPr>
          <w:rFonts w:ascii="Calibri" w:eastAsia="Calibri" w:hAnsi="Calibri" w:cs="Arial"/>
          <w:sz w:val="19"/>
          <w:szCs w:val="19"/>
        </w:rPr>
        <w:t xml:space="preserve"> Owners Advisory Council (‘OAC’) </w:t>
      </w:r>
      <w:r w:rsidR="00934F5A" w:rsidRPr="009768EC">
        <w:rPr>
          <w:rFonts w:ascii="Calibri" w:eastAsia="Calibri" w:hAnsi="Calibri" w:cs="Arial"/>
          <w:sz w:val="19"/>
          <w:szCs w:val="19"/>
        </w:rPr>
        <w:t>and approved by OPA’s Governance and Nominating Committee (‘GNC’)</w:t>
      </w:r>
      <w:r w:rsidR="009C5CEA">
        <w:rPr>
          <w:rFonts w:ascii="Calibri" w:eastAsia="Calibri" w:hAnsi="Calibri" w:cs="Arial"/>
          <w:sz w:val="19"/>
          <w:szCs w:val="19"/>
        </w:rPr>
        <w:t xml:space="preserve"> as well as appointed members representing specific pharmacy organizations</w:t>
      </w:r>
      <w:r w:rsidR="008A5E21">
        <w:rPr>
          <w:rFonts w:ascii="Calibri" w:eastAsia="Calibri" w:hAnsi="Calibri" w:cs="Arial"/>
          <w:sz w:val="19"/>
          <w:szCs w:val="19"/>
        </w:rPr>
        <w:t xml:space="preserve"> (see ‘Committee Composition’)</w:t>
      </w:r>
      <w:r w:rsidR="00934F5A" w:rsidRPr="009768EC">
        <w:rPr>
          <w:rFonts w:ascii="Calibri" w:eastAsia="Calibri" w:hAnsi="Calibri" w:cs="Arial"/>
          <w:sz w:val="19"/>
          <w:szCs w:val="19"/>
        </w:rPr>
        <w:t>. While there will be direct and</w:t>
      </w:r>
      <w:r w:rsidRPr="009768EC">
        <w:rPr>
          <w:rFonts w:ascii="Calibri" w:eastAsia="Calibri" w:hAnsi="Calibri" w:cs="Arial"/>
          <w:sz w:val="19"/>
          <w:szCs w:val="19"/>
        </w:rPr>
        <w:t xml:space="preserve"> bi-directional communication</w:t>
      </w:r>
      <w:r w:rsidR="00934F5A" w:rsidRPr="009768EC">
        <w:rPr>
          <w:rFonts w:ascii="Calibri" w:eastAsia="Calibri" w:hAnsi="Calibri" w:cs="Arial"/>
          <w:sz w:val="19"/>
          <w:szCs w:val="19"/>
        </w:rPr>
        <w:t>, interaction</w:t>
      </w:r>
      <w:r w:rsidRPr="009768EC">
        <w:rPr>
          <w:rFonts w:ascii="Calibri" w:eastAsia="Calibri" w:hAnsi="Calibri" w:cs="Arial"/>
          <w:sz w:val="19"/>
          <w:szCs w:val="19"/>
        </w:rPr>
        <w:t xml:space="preserve"> and information </w:t>
      </w:r>
      <w:r w:rsidR="00934F5A" w:rsidRPr="009768EC">
        <w:rPr>
          <w:rFonts w:ascii="Calibri" w:eastAsia="Calibri" w:hAnsi="Calibri" w:cs="Arial"/>
          <w:sz w:val="19"/>
          <w:szCs w:val="19"/>
        </w:rPr>
        <w:t xml:space="preserve">sharing </w:t>
      </w:r>
      <w:r w:rsidRPr="009768EC">
        <w:rPr>
          <w:rFonts w:ascii="Calibri" w:eastAsia="Calibri" w:hAnsi="Calibri" w:cs="Arial"/>
          <w:sz w:val="19"/>
          <w:szCs w:val="19"/>
        </w:rPr>
        <w:t>between the EC and OAC</w:t>
      </w:r>
      <w:r w:rsidR="00934F5A" w:rsidRPr="009768EC">
        <w:rPr>
          <w:rFonts w:ascii="Calibri" w:eastAsia="Calibri" w:hAnsi="Calibri" w:cs="Arial"/>
          <w:sz w:val="19"/>
          <w:szCs w:val="19"/>
        </w:rPr>
        <w:t xml:space="preserve">, the </w:t>
      </w:r>
      <w:r w:rsidRPr="009768EC">
        <w:rPr>
          <w:rFonts w:ascii="Calibri" w:eastAsia="Calibri" w:hAnsi="Calibri" w:cs="Arial"/>
          <w:sz w:val="19"/>
          <w:szCs w:val="19"/>
        </w:rPr>
        <w:t xml:space="preserve">EC </w:t>
      </w:r>
      <w:r w:rsidR="00934F5A" w:rsidRPr="009768EC">
        <w:rPr>
          <w:rFonts w:ascii="Calibri" w:eastAsia="Calibri" w:hAnsi="Calibri" w:cs="Arial"/>
          <w:sz w:val="19"/>
          <w:szCs w:val="19"/>
        </w:rPr>
        <w:t>will report</w:t>
      </w:r>
      <w:r w:rsidRPr="009768EC">
        <w:rPr>
          <w:rFonts w:ascii="Calibri" w:eastAsia="Calibri" w:hAnsi="Calibri" w:cs="Arial"/>
          <w:sz w:val="19"/>
          <w:szCs w:val="19"/>
        </w:rPr>
        <w:t xml:space="preserve"> directly to the Board. </w:t>
      </w:r>
      <w:r w:rsidR="00934F5A" w:rsidRPr="009768EC">
        <w:rPr>
          <w:rFonts w:ascii="Calibri" w:eastAsia="Calibri" w:hAnsi="Calibri" w:cs="Arial"/>
          <w:sz w:val="19"/>
          <w:szCs w:val="19"/>
        </w:rPr>
        <w:t xml:space="preserve">In addition, </w:t>
      </w:r>
      <w:r w:rsidR="007C7A1D" w:rsidRPr="00D23A8F">
        <w:rPr>
          <w:rFonts w:ascii="Calibri" w:eastAsia="Calibri" w:hAnsi="Calibri" w:cs="Arial"/>
          <w:sz w:val="19"/>
          <w:szCs w:val="19"/>
        </w:rPr>
        <w:t xml:space="preserve">large pharmacy organizations (i.e., with store counts </w:t>
      </w:r>
      <w:r w:rsidR="007C7A1D" w:rsidRPr="00D23A8F">
        <w:rPr>
          <w:rFonts w:ascii="Calibri" w:eastAsia="Calibri" w:hAnsi="Calibri" w:cs="Arial"/>
          <w:sz w:val="19"/>
          <w:szCs w:val="19"/>
        </w:rPr>
        <w:sym w:font="Symbol" w:char="F0B3"/>
      </w:r>
      <w:r w:rsidR="007C7A1D" w:rsidRPr="00D23A8F">
        <w:rPr>
          <w:rFonts w:ascii="Calibri" w:eastAsia="Calibri" w:hAnsi="Calibri" w:cs="Arial"/>
          <w:sz w:val="19"/>
          <w:szCs w:val="19"/>
        </w:rPr>
        <w:t xml:space="preserve"> 750)</w:t>
      </w:r>
      <w:r w:rsidR="007C7A1D">
        <w:rPr>
          <w:rFonts w:ascii="Calibri" w:eastAsia="Calibri" w:hAnsi="Calibri" w:cs="Arial"/>
          <w:sz w:val="19"/>
          <w:szCs w:val="19"/>
        </w:rPr>
        <w:t xml:space="preserve"> and </w:t>
      </w:r>
      <w:r w:rsidR="00934F5A" w:rsidRPr="009768EC">
        <w:rPr>
          <w:rFonts w:ascii="Calibri" w:eastAsia="Calibri" w:hAnsi="Calibri" w:cs="Arial"/>
          <w:sz w:val="19"/>
          <w:szCs w:val="19"/>
        </w:rPr>
        <w:t xml:space="preserve">external pharmacy </w:t>
      </w:r>
      <w:r w:rsidR="00741BF3">
        <w:rPr>
          <w:rFonts w:ascii="Calibri" w:eastAsia="Calibri" w:hAnsi="Calibri" w:cs="Arial"/>
          <w:sz w:val="19"/>
          <w:szCs w:val="19"/>
        </w:rPr>
        <w:t xml:space="preserve">association </w:t>
      </w:r>
      <w:r w:rsidR="00934F5A" w:rsidRPr="009768EC">
        <w:rPr>
          <w:rFonts w:ascii="Calibri" w:eastAsia="Calibri" w:hAnsi="Calibri" w:cs="Arial"/>
          <w:sz w:val="19"/>
          <w:szCs w:val="19"/>
        </w:rPr>
        <w:t xml:space="preserve">stakeholders will be invited to appoint a delegate to the EC in order to eliminate existing fragmentation and facilitate message alignment to public and private policymakers and payers. </w:t>
      </w:r>
      <w:r w:rsidRPr="009768EC">
        <w:rPr>
          <w:rFonts w:ascii="Calibri" w:eastAsia="Calibri" w:hAnsi="Calibri" w:cs="Arial"/>
          <w:sz w:val="19"/>
          <w:szCs w:val="19"/>
        </w:rPr>
        <w:t>The OAC will continue to exist and will remain involved with OPA’s engagement strategy but would meet on a less frequent basis with a focus on areas of discussion coming out of the EC</w:t>
      </w:r>
      <w:r w:rsidR="000E36BB">
        <w:rPr>
          <w:rFonts w:ascii="Calibri" w:eastAsia="Calibri" w:hAnsi="Calibri" w:cs="Arial"/>
          <w:sz w:val="19"/>
          <w:szCs w:val="19"/>
        </w:rPr>
        <w:t>, or other emerging or existing issues of interest</w:t>
      </w:r>
      <w:r w:rsidRPr="009768EC">
        <w:rPr>
          <w:rFonts w:ascii="Calibri" w:eastAsia="Calibri" w:hAnsi="Calibri" w:cs="Arial"/>
          <w:sz w:val="19"/>
          <w:szCs w:val="19"/>
        </w:rPr>
        <w:t xml:space="preserve">. </w:t>
      </w:r>
    </w:p>
    <w:p w14:paraId="3142E254" w14:textId="5DCDD43E" w:rsidR="008E0CAC" w:rsidRPr="009E01FD" w:rsidRDefault="008E0CAC" w:rsidP="0076025B">
      <w:pPr>
        <w:shd w:val="clear" w:color="auto" w:fill="DAEEF3" w:themeFill="accent5" w:themeFillTint="33"/>
        <w:spacing w:before="240" w:after="200" w:line="276" w:lineRule="auto"/>
        <w:ind w:left="-450" w:right="-277"/>
        <w:jc w:val="both"/>
        <w:rPr>
          <w:rFonts w:asciiTheme="majorHAnsi" w:eastAsia="Times New Roman" w:hAnsiTheme="majorHAnsi" w:cstheme="majorHAnsi"/>
          <w:sz w:val="22"/>
          <w:szCs w:val="22"/>
        </w:rPr>
      </w:pPr>
      <w:r w:rsidRPr="009E01FD">
        <w:rPr>
          <w:rFonts w:asciiTheme="majorHAnsi" w:eastAsia="Times New Roman" w:hAnsiTheme="majorHAnsi" w:cstheme="majorHAnsi"/>
          <w:b/>
          <w:sz w:val="22"/>
          <w:szCs w:val="22"/>
        </w:rPr>
        <w:t>OVERALL ACCOUNTABILITY</w:t>
      </w:r>
    </w:p>
    <w:p w14:paraId="6DF1742C" w14:textId="77777777" w:rsidR="008E0CAC" w:rsidRPr="009768EC" w:rsidRDefault="008E0CAC" w:rsidP="0076025B">
      <w:pPr>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The OPA Economics Committee shall:</w:t>
      </w:r>
    </w:p>
    <w:p w14:paraId="7B19EDD5" w14:textId="5955EAF4" w:rsidR="008E0CAC" w:rsidRPr="009768EC" w:rsidRDefault="008E0CAC" w:rsidP="0076025B">
      <w:pPr>
        <w:numPr>
          <w:ilvl w:val="0"/>
          <w:numId w:val="8"/>
        </w:numPr>
        <w:spacing w:after="200"/>
        <w:ind w:left="-450" w:right="-277"/>
        <w:contextualSpacing/>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Identify </w:t>
      </w:r>
      <w:r w:rsidR="008A5E21">
        <w:rPr>
          <w:rFonts w:asciiTheme="majorHAnsi" w:eastAsia="Times New Roman" w:hAnsiTheme="majorHAnsi" w:cstheme="majorHAnsi"/>
          <w:sz w:val="19"/>
          <w:szCs w:val="19"/>
        </w:rPr>
        <w:t>and make recommendations to the Board for action or approaches relating to existing or changing aspects of the business of pharmacy and on new and emerging</w:t>
      </w:r>
      <w:r w:rsidRPr="009768EC">
        <w:rPr>
          <w:rFonts w:asciiTheme="majorHAnsi" w:eastAsia="Times New Roman" w:hAnsiTheme="majorHAnsi" w:cstheme="majorHAnsi"/>
          <w:sz w:val="19"/>
          <w:szCs w:val="19"/>
        </w:rPr>
        <w:t xml:space="preserve"> issues of concern</w:t>
      </w:r>
      <w:r w:rsidR="008A5E21">
        <w:rPr>
          <w:rFonts w:asciiTheme="majorHAnsi" w:eastAsia="Times New Roman" w:hAnsiTheme="majorHAnsi" w:cstheme="majorHAnsi"/>
          <w:sz w:val="19"/>
          <w:szCs w:val="19"/>
        </w:rPr>
        <w:t xml:space="preserve"> or opportunity</w:t>
      </w:r>
      <w:r w:rsidRPr="009768EC">
        <w:rPr>
          <w:rFonts w:asciiTheme="majorHAnsi" w:eastAsia="Times New Roman" w:hAnsiTheme="majorHAnsi" w:cstheme="majorHAnsi"/>
          <w:sz w:val="19"/>
          <w:szCs w:val="19"/>
        </w:rPr>
        <w:t xml:space="preserve"> pertaining to </w:t>
      </w:r>
      <w:r w:rsidR="0013582F" w:rsidRPr="009768EC">
        <w:rPr>
          <w:rFonts w:asciiTheme="majorHAnsi" w:eastAsia="Times New Roman" w:hAnsiTheme="majorHAnsi" w:cstheme="majorHAnsi"/>
          <w:sz w:val="19"/>
          <w:szCs w:val="19"/>
        </w:rPr>
        <w:t>the</w:t>
      </w:r>
      <w:r w:rsidR="00FC585D" w:rsidRPr="009768EC">
        <w:rPr>
          <w:rFonts w:asciiTheme="majorHAnsi" w:eastAsia="Times New Roman" w:hAnsiTheme="majorHAnsi" w:cstheme="majorHAnsi"/>
          <w:sz w:val="19"/>
          <w:szCs w:val="19"/>
        </w:rPr>
        <w:t xml:space="preserve"> business and</w:t>
      </w:r>
      <w:r w:rsidR="0013582F" w:rsidRPr="009768EC">
        <w:rPr>
          <w:rFonts w:asciiTheme="majorHAnsi" w:eastAsia="Times New Roman" w:hAnsiTheme="majorHAnsi" w:cstheme="majorHAnsi"/>
          <w:sz w:val="19"/>
          <w:szCs w:val="19"/>
        </w:rPr>
        <w:t xml:space="preserve"> economics of pharmacy </w:t>
      </w:r>
      <w:r w:rsidRPr="009768EC">
        <w:rPr>
          <w:rFonts w:asciiTheme="majorHAnsi" w:eastAsia="Times New Roman" w:hAnsiTheme="majorHAnsi" w:cstheme="majorHAnsi"/>
          <w:sz w:val="19"/>
          <w:szCs w:val="19"/>
        </w:rPr>
        <w:t>in Ontario</w:t>
      </w:r>
      <w:r w:rsidR="00FC585D" w:rsidRPr="009768EC">
        <w:rPr>
          <w:rFonts w:asciiTheme="majorHAnsi" w:eastAsia="Times New Roman" w:hAnsiTheme="majorHAnsi" w:cstheme="majorHAnsi"/>
          <w:sz w:val="19"/>
          <w:szCs w:val="19"/>
        </w:rPr>
        <w:t xml:space="preserve"> in both the public and private payor sectors</w:t>
      </w:r>
      <w:r w:rsidR="00385E16" w:rsidRPr="009768EC">
        <w:rPr>
          <w:rFonts w:asciiTheme="majorHAnsi" w:eastAsia="Times New Roman" w:hAnsiTheme="majorHAnsi" w:cstheme="majorHAnsi"/>
          <w:sz w:val="19"/>
          <w:szCs w:val="19"/>
        </w:rPr>
        <w:t>;</w:t>
      </w:r>
    </w:p>
    <w:p w14:paraId="2CC60B1A" w14:textId="591595D1" w:rsidR="008E0CAC" w:rsidRPr="009768EC" w:rsidRDefault="00FC585D" w:rsidP="0076025B">
      <w:pPr>
        <w:numPr>
          <w:ilvl w:val="0"/>
          <w:numId w:val="8"/>
        </w:numPr>
        <w:spacing w:after="200"/>
        <w:ind w:left="-450" w:right="-277"/>
        <w:contextualSpacing/>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I</w:t>
      </w:r>
      <w:r w:rsidR="008E0CAC" w:rsidRPr="009768EC">
        <w:rPr>
          <w:rFonts w:asciiTheme="majorHAnsi" w:eastAsia="Times New Roman" w:hAnsiTheme="majorHAnsi" w:cstheme="majorHAnsi"/>
          <w:sz w:val="19"/>
          <w:szCs w:val="19"/>
        </w:rPr>
        <w:t>dentify and recommend new initiatives, proposals or services for pharmacy</w:t>
      </w:r>
      <w:r w:rsidR="00385E16" w:rsidRPr="009768EC">
        <w:rPr>
          <w:rFonts w:asciiTheme="majorHAnsi" w:eastAsia="Times New Roman" w:hAnsiTheme="majorHAnsi" w:cstheme="majorHAnsi"/>
          <w:sz w:val="19"/>
          <w:szCs w:val="19"/>
        </w:rPr>
        <w:t>,</w:t>
      </w:r>
      <w:r w:rsidR="008E0CAC" w:rsidRPr="009768EC">
        <w:rPr>
          <w:rFonts w:asciiTheme="majorHAnsi" w:eastAsia="Times New Roman" w:hAnsiTheme="majorHAnsi" w:cstheme="majorHAnsi"/>
          <w:sz w:val="19"/>
          <w:szCs w:val="19"/>
        </w:rPr>
        <w:t xml:space="preserve"> including an analysis of the economics of such activities</w:t>
      </w:r>
      <w:r w:rsidR="00385E16" w:rsidRPr="009768EC">
        <w:rPr>
          <w:rFonts w:asciiTheme="majorHAnsi" w:eastAsia="Times New Roman" w:hAnsiTheme="majorHAnsi" w:cstheme="majorHAnsi"/>
          <w:sz w:val="19"/>
          <w:szCs w:val="19"/>
        </w:rPr>
        <w:t>,</w:t>
      </w:r>
      <w:r w:rsidR="008E0CAC" w:rsidRPr="009768EC">
        <w:rPr>
          <w:rFonts w:asciiTheme="majorHAnsi" w:eastAsia="Times New Roman" w:hAnsiTheme="majorHAnsi" w:cstheme="majorHAnsi"/>
          <w:sz w:val="19"/>
          <w:szCs w:val="19"/>
        </w:rPr>
        <w:t xml:space="preserve"> and identify any research or information required to support such programs;</w:t>
      </w:r>
    </w:p>
    <w:p w14:paraId="44A4AEB3" w14:textId="77777777" w:rsidR="008E0CAC" w:rsidRPr="009768EC" w:rsidRDefault="008E0CAC" w:rsidP="0076025B">
      <w:pPr>
        <w:numPr>
          <w:ilvl w:val="0"/>
          <w:numId w:val="8"/>
        </w:numPr>
        <w:spacing w:after="200"/>
        <w:ind w:left="-450" w:right="-277"/>
        <w:contextualSpacing/>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Encourage support, financial or otherwise, by pharmacy owners and managers for the work of the Association;</w:t>
      </w:r>
    </w:p>
    <w:p w14:paraId="7C7F47FA" w14:textId="05FE5198" w:rsidR="008E0CAC" w:rsidRPr="009768EC" w:rsidRDefault="008E0CAC" w:rsidP="0076025B">
      <w:pPr>
        <w:numPr>
          <w:ilvl w:val="0"/>
          <w:numId w:val="8"/>
        </w:numPr>
        <w:spacing w:after="200"/>
        <w:ind w:left="-450" w:right="-277"/>
        <w:contextualSpacing/>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Participate in and liaise with elected government officials as an official member of the OPA Economics Committee, when possible and permitted, during formal Association advocacy initiatives that includes, but may not be limited to, OPA’s annual Queen’s Park Day;</w:t>
      </w:r>
      <w:r w:rsidR="00385E16" w:rsidRPr="009768EC">
        <w:rPr>
          <w:rFonts w:asciiTheme="majorHAnsi" w:eastAsia="Times New Roman" w:hAnsiTheme="majorHAnsi" w:cstheme="majorHAnsi"/>
          <w:sz w:val="19"/>
          <w:szCs w:val="19"/>
        </w:rPr>
        <w:t xml:space="preserve"> and</w:t>
      </w:r>
    </w:p>
    <w:p w14:paraId="39F94937" w14:textId="6532BF51" w:rsidR="008E0CAC" w:rsidRDefault="008E0CAC" w:rsidP="0076025B">
      <w:pPr>
        <w:numPr>
          <w:ilvl w:val="0"/>
          <w:numId w:val="8"/>
        </w:numPr>
        <w:spacing w:after="200"/>
        <w:ind w:left="-450" w:right="-277"/>
        <w:contextualSpacing/>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Periodically review the mandate of the Committee and </w:t>
      </w:r>
      <w:r w:rsidR="00385E16" w:rsidRPr="009768EC">
        <w:rPr>
          <w:rFonts w:asciiTheme="majorHAnsi" w:eastAsia="Times New Roman" w:hAnsiTheme="majorHAnsi" w:cstheme="majorHAnsi"/>
          <w:sz w:val="19"/>
          <w:szCs w:val="19"/>
        </w:rPr>
        <w:t xml:space="preserve">propose </w:t>
      </w:r>
      <w:r w:rsidRPr="009768EC">
        <w:rPr>
          <w:rFonts w:asciiTheme="majorHAnsi" w:eastAsia="Times New Roman" w:hAnsiTheme="majorHAnsi" w:cstheme="majorHAnsi"/>
          <w:sz w:val="19"/>
          <w:szCs w:val="19"/>
        </w:rPr>
        <w:t xml:space="preserve">any recommended changes to </w:t>
      </w:r>
      <w:r w:rsidR="00385E16" w:rsidRPr="009768EC">
        <w:rPr>
          <w:rFonts w:asciiTheme="majorHAnsi" w:eastAsia="Times New Roman" w:hAnsiTheme="majorHAnsi" w:cstheme="majorHAnsi"/>
          <w:sz w:val="19"/>
          <w:szCs w:val="19"/>
        </w:rPr>
        <w:t>OPA’s Governance and Nomination Committee for consideration</w:t>
      </w:r>
      <w:r w:rsidRPr="009768EC">
        <w:rPr>
          <w:rFonts w:asciiTheme="majorHAnsi" w:eastAsia="Times New Roman" w:hAnsiTheme="majorHAnsi" w:cstheme="majorHAnsi"/>
          <w:sz w:val="19"/>
          <w:szCs w:val="19"/>
        </w:rPr>
        <w:t>.</w:t>
      </w:r>
    </w:p>
    <w:p w14:paraId="66E265CF" w14:textId="753BDBCF" w:rsidR="00C36CF2" w:rsidRDefault="00C36CF2" w:rsidP="0076025B">
      <w:pPr>
        <w:spacing w:after="200"/>
        <w:ind w:left="-450" w:right="-277"/>
        <w:contextualSpacing/>
        <w:jc w:val="both"/>
        <w:rPr>
          <w:rFonts w:asciiTheme="majorHAnsi" w:eastAsia="Times New Roman" w:hAnsiTheme="majorHAnsi" w:cstheme="majorHAnsi"/>
          <w:sz w:val="19"/>
          <w:szCs w:val="19"/>
        </w:rPr>
      </w:pPr>
    </w:p>
    <w:p w14:paraId="146C814C" w14:textId="21A90612" w:rsidR="0076025B" w:rsidRDefault="0076025B" w:rsidP="0076025B">
      <w:pPr>
        <w:spacing w:after="200"/>
        <w:ind w:left="-450" w:right="-277"/>
        <w:contextualSpacing/>
        <w:jc w:val="both"/>
        <w:rPr>
          <w:rFonts w:asciiTheme="majorHAnsi" w:eastAsia="Times New Roman" w:hAnsiTheme="majorHAnsi" w:cstheme="majorHAnsi"/>
          <w:sz w:val="19"/>
          <w:szCs w:val="19"/>
        </w:rPr>
      </w:pPr>
    </w:p>
    <w:p w14:paraId="6C5AA2A0" w14:textId="14E52F90" w:rsidR="0076025B" w:rsidRDefault="0076025B" w:rsidP="0076025B">
      <w:pPr>
        <w:spacing w:after="200"/>
        <w:ind w:left="-450" w:right="-277"/>
        <w:contextualSpacing/>
        <w:jc w:val="both"/>
        <w:rPr>
          <w:rFonts w:asciiTheme="majorHAnsi" w:eastAsia="Times New Roman" w:hAnsiTheme="majorHAnsi" w:cstheme="majorHAnsi"/>
          <w:sz w:val="19"/>
          <w:szCs w:val="19"/>
        </w:rPr>
      </w:pPr>
    </w:p>
    <w:p w14:paraId="375E5A58" w14:textId="77777777" w:rsidR="0076025B" w:rsidRDefault="0076025B" w:rsidP="0076025B">
      <w:pPr>
        <w:spacing w:after="200"/>
        <w:ind w:left="-450" w:right="-277"/>
        <w:contextualSpacing/>
        <w:jc w:val="both"/>
        <w:rPr>
          <w:rFonts w:asciiTheme="majorHAnsi" w:eastAsia="Times New Roman" w:hAnsiTheme="majorHAnsi" w:cstheme="majorHAnsi"/>
          <w:sz w:val="19"/>
          <w:szCs w:val="19"/>
        </w:rPr>
      </w:pPr>
    </w:p>
    <w:p w14:paraId="652218AD" w14:textId="77777777" w:rsidR="0076025B" w:rsidRPr="009768EC" w:rsidRDefault="0076025B" w:rsidP="0076025B">
      <w:pPr>
        <w:spacing w:after="200"/>
        <w:ind w:left="-450" w:right="-277"/>
        <w:contextualSpacing/>
        <w:jc w:val="both"/>
        <w:rPr>
          <w:rFonts w:asciiTheme="majorHAnsi" w:eastAsia="Times New Roman" w:hAnsiTheme="majorHAnsi" w:cstheme="majorHAnsi"/>
          <w:sz w:val="19"/>
          <w:szCs w:val="19"/>
        </w:rPr>
      </w:pPr>
    </w:p>
    <w:p w14:paraId="2B7AA583" w14:textId="64D591CA" w:rsidR="008E0CAC" w:rsidRPr="0023274B" w:rsidRDefault="008E0CAC" w:rsidP="0076025B">
      <w:pPr>
        <w:shd w:val="clear" w:color="auto" w:fill="DAEEF3" w:themeFill="accent5" w:themeFillTint="33"/>
        <w:spacing w:after="200" w:line="276" w:lineRule="auto"/>
        <w:ind w:left="-450" w:right="-277"/>
        <w:jc w:val="both"/>
        <w:rPr>
          <w:rFonts w:asciiTheme="majorHAnsi" w:eastAsia="Times New Roman" w:hAnsiTheme="majorHAnsi" w:cstheme="majorHAnsi"/>
          <w:b/>
          <w:sz w:val="22"/>
          <w:szCs w:val="22"/>
        </w:rPr>
      </w:pPr>
      <w:bookmarkStart w:id="0" w:name="_Hlk44443514"/>
      <w:r w:rsidRPr="0023274B">
        <w:rPr>
          <w:rFonts w:asciiTheme="majorHAnsi" w:eastAsia="Times New Roman" w:hAnsiTheme="majorHAnsi" w:cstheme="majorHAnsi"/>
          <w:b/>
          <w:sz w:val="22"/>
          <w:szCs w:val="22"/>
        </w:rPr>
        <w:lastRenderedPageBreak/>
        <w:t>COMMITTEE COMPOSITION</w:t>
      </w:r>
      <w:r w:rsidR="009E01FD" w:rsidRPr="0023274B">
        <w:rPr>
          <w:rFonts w:asciiTheme="majorHAnsi" w:eastAsia="Times New Roman" w:hAnsiTheme="majorHAnsi" w:cstheme="majorHAnsi"/>
          <w:b/>
          <w:sz w:val="22"/>
          <w:szCs w:val="22"/>
        </w:rPr>
        <w:t xml:space="preserve"> </w:t>
      </w:r>
      <w:r w:rsidRPr="0023274B">
        <w:rPr>
          <w:rFonts w:asciiTheme="majorHAnsi" w:eastAsia="Times New Roman" w:hAnsiTheme="majorHAnsi" w:cstheme="majorHAnsi"/>
          <w:b/>
          <w:sz w:val="22"/>
          <w:szCs w:val="22"/>
        </w:rPr>
        <w:t xml:space="preserve"> </w:t>
      </w:r>
    </w:p>
    <w:bookmarkEnd w:id="0"/>
    <w:p w14:paraId="76FB3AEE" w14:textId="21E0F638" w:rsidR="008E0CAC" w:rsidRDefault="008E0CAC" w:rsidP="0076025B">
      <w:pPr>
        <w:spacing w:after="240"/>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The OPA Economics Committee shall be comprised of </w:t>
      </w:r>
      <w:r w:rsidR="00B2506D">
        <w:rPr>
          <w:rFonts w:asciiTheme="majorHAnsi" w:eastAsia="Times New Roman" w:hAnsiTheme="majorHAnsi" w:cstheme="majorHAnsi"/>
          <w:sz w:val="19"/>
          <w:szCs w:val="19"/>
        </w:rPr>
        <w:t>eight</w:t>
      </w:r>
      <w:r w:rsidR="00B2506D" w:rsidRPr="009768EC">
        <w:rPr>
          <w:rFonts w:asciiTheme="majorHAnsi" w:eastAsia="Times New Roman" w:hAnsiTheme="majorHAnsi" w:cstheme="majorHAnsi"/>
          <w:sz w:val="19"/>
          <w:szCs w:val="19"/>
        </w:rPr>
        <w:t xml:space="preserve"> </w:t>
      </w:r>
      <w:r w:rsidRPr="009768EC">
        <w:rPr>
          <w:rFonts w:asciiTheme="majorHAnsi" w:eastAsia="Times New Roman" w:hAnsiTheme="majorHAnsi" w:cstheme="majorHAnsi"/>
          <w:sz w:val="19"/>
          <w:szCs w:val="19"/>
        </w:rPr>
        <w:t>(</w:t>
      </w:r>
      <w:r w:rsidR="00B2506D">
        <w:rPr>
          <w:rFonts w:asciiTheme="majorHAnsi" w:eastAsia="Times New Roman" w:hAnsiTheme="majorHAnsi" w:cstheme="majorHAnsi"/>
          <w:sz w:val="19"/>
          <w:szCs w:val="19"/>
        </w:rPr>
        <w:t>8</w:t>
      </w:r>
      <w:r w:rsidRPr="009768EC">
        <w:rPr>
          <w:rFonts w:asciiTheme="majorHAnsi" w:eastAsia="Times New Roman" w:hAnsiTheme="majorHAnsi" w:cstheme="majorHAnsi"/>
          <w:sz w:val="19"/>
          <w:szCs w:val="19"/>
        </w:rPr>
        <w:t xml:space="preserve">) voting members, </w:t>
      </w:r>
      <w:r w:rsidR="00410A6E" w:rsidRPr="009768EC">
        <w:rPr>
          <w:rFonts w:asciiTheme="majorHAnsi" w:eastAsia="Times New Roman" w:hAnsiTheme="majorHAnsi" w:cstheme="majorHAnsi"/>
          <w:sz w:val="19"/>
          <w:szCs w:val="19"/>
        </w:rPr>
        <w:t xml:space="preserve">three </w:t>
      </w:r>
      <w:r w:rsidRPr="009768EC">
        <w:rPr>
          <w:rFonts w:asciiTheme="majorHAnsi" w:eastAsia="Times New Roman" w:hAnsiTheme="majorHAnsi" w:cstheme="majorHAnsi"/>
          <w:sz w:val="19"/>
          <w:szCs w:val="19"/>
        </w:rPr>
        <w:t>(</w:t>
      </w:r>
      <w:r w:rsidR="00410A6E" w:rsidRPr="009768EC">
        <w:rPr>
          <w:rFonts w:asciiTheme="majorHAnsi" w:eastAsia="Times New Roman" w:hAnsiTheme="majorHAnsi" w:cstheme="majorHAnsi"/>
          <w:sz w:val="19"/>
          <w:szCs w:val="19"/>
        </w:rPr>
        <w:t>3</w:t>
      </w:r>
      <w:r w:rsidRPr="009768EC">
        <w:rPr>
          <w:rFonts w:asciiTheme="majorHAnsi" w:eastAsia="Times New Roman" w:hAnsiTheme="majorHAnsi" w:cstheme="majorHAnsi"/>
          <w:sz w:val="19"/>
          <w:szCs w:val="19"/>
        </w:rPr>
        <w:t>) Association staff liaisons and one (1) representative to serve as legal counsel.</w:t>
      </w:r>
      <w:r w:rsidR="003F2DA5" w:rsidRPr="009768EC">
        <w:rPr>
          <w:rFonts w:asciiTheme="majorHAnsi" w:eastAsia="Times New Roman" w:hAnsiTheme="majorHAnsi" w:cstheme="majorHAnsi"/>
          <w:sz w:val="19"/>
          <w:szCs w:val="19"/>
        </w:rPr>
        <w:t xml:space="preserve"> Representation from less traditional pharmacy sectors will be by invitation only for relevant portions of meetings.</w:t>
      </w:r>
    </w:p>
    <w:tbl>
      <w:tblPr>
        <w:tblStyle w:val="TableGrid"/>
        <w:tblW w:w="9450" w:type="dxa"/>
        <w:tblInd w:w="-365" w:type="dxa"/>
        <w:tblLook w:val="04A0" w:firstRow="1" w:lastRow="0" w:firstColumn="1" w:lastColumn="0" w:noHBand="0" w:noVBand="1"/>
      </w:tblPr>
      <w:tblGrid>
        <w:gridCol w:w="540"/>
        <w:gridCol w:w="8910"/>
      </w:tblGrid>
      <w:tr w:rsidR="00074BA2" w:rsidRPr="009768EC" w14:paraId="56020B00" w14:textId="77777777" w:rsidTr="00074BA2">
        <w:tc>
          <w:tcPr>
            <w:tcW w:w="9450" w:type="dxa"/>
            <w:gridSpan w:val="2"/>
            <w:shd w:val="clear" w:color="auto" w:fill="002060"/>
          </w:tcPr>
          <w:p w14:paraId="722A2609" w14:textId="77777777" w:rsidR="00074BA2" w:rsidRPr="009768EC" w:rsidRDefault="00074BA2" w:rsidP="00E2120B">
            <w:pPr>
              <w:spacing w:line="276" w:lineRule="auto"/>
              <w:jc w:val="center"/>
              <w:rPr>
                <w:rFonts w:asciiTheme="majorHAnsi" w:eastAsia="Times New Roman" w:hAnsiTheme="majorHAnsi" w:cstheme="majorHAnsi"/>
                <w:b/>
                <w:bCs/>
                <w:sz w:val="20"/>
                <w:szCs w:val="20"/>
              </w:rPr>
            </w:pPr>
            <w:r w:rsidRPr="009768EC">
              <w:rPr>
                <w:rFonts w:asciiTheme="majorHAnsi" w:eastAsia="Times New Roman" w:hAnsiTheme="majorHAnsi" w:cstheme="majorHAnsi"/>
                <w:b/>
                <w:bCs/>
                <w:sz w:val="20"/>
                <w:szCs w:val="20"/>
              </w:rPr>
              <w:t>Elected Economics Committee Members (</w:t>
            </w:r>
            <w:r>
              <w:rPr>
                <w:rFonts w:asciiTheme="majorHAnsi" w:eastAsia="Times New Roman" w:hAnsiTheme="majorHAnsi" w:cstheme="majorHAnsi"/>
                <w:b/>
                <w:bCs/>
                <w:sz w:val="20"/>
                <w:szCs w:val="20"/>
              </w:rPr>
              <w:t>4</w:t>
            </w:r>
            <w:r w:rsidRPr="009768EC">
              <w:rPr>
                <w:rFonts w:asciiTheme="majorHAnsi" w:eastAsia="Times New Roman" w:hAnsiTheme="majorHAnsi" w:cstheme="majorHAnsi"/>
                <w:b/>
                <w:bCs/>
                <w:sz w:val="20"/>
                <w:szCs w:val="20"/>
              </w:rPr>
              <w:t>)</w:t>
            </w:r>
          </w:p>
        </w:tc>
      </w:tr>
      <w:tr w:rsidR="00074BA2" w:rsidRPr="009768EC" w14:paraId="70C8E5CD" w14:textId="77777777" w:rsidTr="00074BA2">
        <w:tc>
          <w:tcPr>
            <w:tcW w:w="540" w:type="dxa"/>
          </w:tcPr>
          <w:p w14:paraId="276CCFD9"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2</w:t>
            </w:r>
            <w:r w:rsidRPr="009768EC">
              <w:rPr>
                <w:rFonts w:asciiTheme="majorHAnsi" w:eastAsia="Times New Roman" w:hAnsiTheme="majorHAnsi" w:cstheme="majorHAnsi"/>
                <w:color w:val="FF0000"/>
                <w:sz w:val="16"/>
                <w:szCs w:val="16"/>
              </w:rPr>
              <w:t>*</w:t>
            </w:r>
          </w:p>
        </w:tc>
        <w:tc>
          <w:tcPr>
            <w:tcW w:w="8910" w:type="dxa"/>
          </w:tcPr>
          <w:p w14:paraId="146E914D"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Delegates representing two (2) banner pharmacy groups</w:t>
            </w:r>
            <w:r>
              <w:rPr>
                <w:rFonts w:asciiTheme="majorHAnsi" w:eastAsia="Times New Roman" w:hAnsiTheme="majorHAnsi" w:cstheme="majorHAnsi"/>
                <w:sz w:val="16"/>
                <w:szCs w:val="16"/>
              </w:rPr>
              <w:t xml:space="preserve"> </w:t>
            </w:r>
          </w:p>
        </w:tc>
      </w:tr>
      <w:tr w:rsidR="00074BA2" w:rsidRPr="009768EC" w14:paraId="55913B46" w14:textId="77777777" w:rsidTr="00074BA2">
        <w:tc>
          <w:tcPr>
            <w:tcW w:w="540" w:type="dxa"/>
          </w:tcPr>
          <w:p w14:paraId="6624D777"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2E6AE2F2"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Delegate who is an independent pharmacy owner</w:t>
            </w:r>
          </w:p>
        </w:tc>
      </w:tr>
      <w:tr w:rsidR="00074BA2" w:rsidRPr="009768EC" w14:paraId="10A7D3E7" w14:textId="77777777" w:rsidTr="00074BA2">
        <w:tc>
          <w:tcPr>
            <w:tcW w:w="540" w:type="dxa"/>
          </w:tcPr>
          <w:p w14:paraId="3F9BD2B5"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57EF4145"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Delegate representing Long-Term Care pharmacy operators</w:t>
            </w:r>
          </w:p>
        </w:tc>
      </w:tr>
      <w:tr w:rsidR="00074BA2" w:rsidRPr="009768EC" w14:paraId="6AB29748" w14:textId="77777777" w:rsidTr="00074BA2">
        <w:tc>
          <w:tcPr>
            <w:tcW w:w="9450" w:type="dxa"/>
            <w:gridSpan w:val="2"/>
            <w:shd w:val="clear" w:color="auto" w:fill="002060"/>
          </w:tcPr>
          <w:p w14:paraId="1179049C" w14:textId="77777777" w:rsidR="00074BA2" w:rsidRPr="009768EC" w:rsidRDefault="00074BA2" w:rsidP="00E2120B">
            <w:pPr>
              <w:spacing w:line="276" w:lineRule="auto"/>
              <w:jc w:val="center"/>
              <w:rPr>
                <w:rFonts w:asciiTheme="majorHAnsi" w:eastAsia="Times New Roman" w:hAnsiTheme="majorHAnsi" w:cstheme="majorHAnsi"/>
                <w:b/>
                <w:bCs/>
                <w:sz w:val="16"/>
                <w:szCs w:val="16"/>
              </w:rPr>
            </w:pPr>
            <w:r w:rsidRPr="009768EC">
              <w:rPr>
                <w:rFonts w:asciiTheme="majorHAnsi" w:eastAsia="Times New Roman" w:hAnsiTheme="majorHAnsi" w:cstheme="majorHAnsi"/>
                <w:b/>
                <w:bCs/>
                <w:sz w:val="20"/>
                <w:szCs w:val="20"/>
              </w:rPr>
              <w:t>Appointed Economics Committee Members</w:t>
            </w:r>
            <w:r w:rsidRPr="0059775E">
              <w:rPr>
                <w:rFonts w:asciiTheme="majorHAnsi" w:eastAsia="Times New Roman" w:hAnsiTheme="majorHAnsi" w:cstheme="majorHAnsi"/>
                <w:b/>
                <w:bCs/>
                <w:color w:val="FF0000"/>
                <w:sz w:val="20"/>
                <w:szCs w:val="20"/>
              </w:rPr>
              <w:t xml:space="preserve"> </w:t>
            </w:r>
            <w:r w:rsidRPr="009768EC">
              <w:rPr>
                <w:rFonts w:asciiTheme="majorHAnsi" w:eastAsia="Times New Roman" w:hAnsiTheme="majorHAnsi" w:cstheme="majorHAnsi"/>
                <w:b/>
                <w:bCs/>
                <w:sz w:val="20"/>
                <w:szCs w:val="20"/>
              </w:rPr>
              <w:t>(</w:t>
            </w:r>
            <w:r>
              <w:rPr>
                <w:rFonts w:asciiTheme="majorHAnsi" w:eastAsia="Times New Roman" w:hAnsiTheme="majorHAnsi" w:cstheme="majorHAnsi"/>
                <w:b/>
                <w:bCs/>
                <w:sz w:val="20"/>
                <w:szCs w:val="20"/>
              </w:rPr>
              <w:t>4+</w:t>
            </w:r>
            <w:r w:rsidRPr="009768EC">
              <w:rPr>
                <w:rFonts w:asciiTheme="majorHAnsi" w:eastAsia="Times New Roman" w:hAnsiTheme="majorHAnsi" w:cstheme="majorHAnsi"/>
                <w:b/>
                <w:bCs/>
                <w:sz w:val="20"/>
                <w:szCs w:val="20"/>
              </w:rPr>
              <w:t>)</w:t>
            </w:r>
          </w:p>
        </w:tc>
      </w:tr>
      <w:tr w:rsidR="00074BA2" w:rsidRPr="009768EC" w14:paraId="7F90DD4C" w14:textId="77777777" w:rsidTr="00074BA2">
        <w:tc>
          <w:tcPr>
            <w:tcW w:w="540" w:type="dxa"/>
          </w:tcPr>
          <w:p w14:paraId="6062915A" w14:textId="77777777" w:rsidR="00074BA2" w:rsidRPr="009768EC" w:rsidRDefault="00074BA2" w:rsidP="00E2120B">
            <w:pPr>
              <w:spacing w:line="276" w:lineRule="auto"/>
              <w:jc w:val="both"/>
              <w:rPr>
                <w:rFonts w:asciiTheme="majorHAnsi" w:eastAsia="Times New Roman" w:hAnsiTheme="majorHAnsi" w:cstheme="majorHAnsi"/>
                <w:sz w:val="16"/>
                <w:szCs w:val="16"/>
              </w:rPr>
            </w:pPr>
            <w:r>
              <w:rPr>
                <w:rFonts w:asciiTheme="majorHAnsi" w:eastAsia="Times New Roman" w:hAnsiTheme="majorHAnsi" w:cstheme="majorHAnsi"/>
                <w:sz w:val="16"/>
                <w:szCs w:val="16"/>
              </w:rPr>
              <w:t>1</w:t>
            </w:r>
            <w:r w:rsidRPr="00C826D3">
              <w:rPr>
                <w:rFonts w:asciiTheme="majorHAnsi" w:eastAsia="Times New Roman" w:hAnsiTheme="majorHAnsi" w:cstheme="majorHAnsi"/>
                <w:color w:val="FF0000"/>
                <w:sz w:val="16"/>
                <w:szCs w:val="16"/>
              </w:rPr>
              <w:t>**</w:t>
            </w:r>
          </w:p>
        </w:tc>
        <w:tc>
          <w:tcPr>
            <w:tcW w:w="8910" w:type="dxa"/>
          </w:tcPr>
          <w:p w14:paraId="406F0EA0" w14:textId="77777777" w:rsidR="00074BA2" w:rsidRPr="0059775E" w:rsidRDefault="00074BA2" w:rsidP="00E2120B">
            <w:pPr>
              <w:spacing w:line="276" w:lineRule="auto"/>
              <w:jc w:val="both"/>
              <w:rPr>
                <w:rFonts w:asciiTheme="majorHAnsi" w:eastAsia="Times New Roman" w:hAnsiTheme="majorHAnsi" w:cstheme="majorHAnsi"/>
                <w:sz w:val="16"/>
                <w:szCs w:val="16"/>
              </w:rPr>
            </w:pPr>
            <w:r w:rsidRPr="0059775E">
              <w:rPr>
                <w:rFonts w:asciiTheme="majorHAnsi" w:eastAsia="Times New Roman" w:hAnsiTheme="majorHAnsi" w:cstheme="majorHAnsi"/>
                <w:sz w:val="16"/>
                <w:szCs w:val="16"/>
              </w:rPr>
              <w:t>Delegate representing Shoppers Drug Mart / Loblaw Companies Ltd. (appointed by SDM/LCL)</w:t>
            </w:r>
          </w:p>
        </w:tc>
      </w:tr>
      <w:tr w:rsidR="00074BA2" w:rsidRPr="009768EC" w14:paraId="4801B31A" w14:textId="77777777" w:rsidTr="00074BA2">
        <w:tc>
          <w:tcPr>
            <w:tcW w:w="540" w:type="dxa"/>
          </w:tcPr>
          <w:p w14:paraId="7386B041" w14:textId="77777777" w:rsidR="00074BA2" w:rsidRPr="009768EC" w:rsidRDefault="00074BA2" w:rsidP="00E2120B">
            <w:pPr>
              <w:spacing w:line="276" w:lineRule="auto"/>
              <w:jc w:val="both"/>
              <w:rPr>
                <w:rFonts w:asciiTheme="majorHAnsi" w:eastAsia="Times New Roman" w:hAnsiTheme="majorHAnsi" w:cstheme="majorHAnsi"/>
                <w:sz w:val="16"/>
                <w:szCs w:val="16"/>
              </w:rPr>
            </w:pPr>
            <w:r>
              <w:rPr>
                <w:rFonts w:asciiTheme="majorHAnsi" w:eastAsia="Times New Roman" w:hAnsiTheme="majorHAnsi" w:cstheme="majorHAnsi"/>
                <w:sz w:val="16"/>
                <w:szCs w:val="16"/>
              </w:rPr>
              <w:t>1</w:t>
            </w:r>
            <w:r w:rsidRPr="00C826D3">
              <w:rPr>
                <w:rFonts w:asciiTheme="majorHAnsi" w:eastAsia="Times New Roman" w:hAnsiTheme="majorHAnsi" w:cstheme="majorHAnsi"/>
                <w:color w:val="FF0000"/>
                <w:sz w:val="16"/>
                <w:szCs w:val="16"/>
              </w:rPr>
              <w:t>**</w:t>
            </w:r>
          </w:p>
        </w:tc>
        <w:tc>
          <w:tcPr>
            <w:tcW w:w="8910" w:type="dxa"/>
          </w:tcPr>
          <w:p w14:paraId="1124B35D" w14:textId="77777777" w:rsidR="00074BA2" w:rsidRPr="0059775E" w:rsidRDefault="00074BA2" w:rsidP="00E2120B">
            <w:pPr>
              <w:spacing w:line="276" w:lineRule="auto"/>
              <w:jc w:val="both"/>
              <w:rPr>
                <w:rFonts w:asciiTheme="majorHAnsi" w:eastAsia="Times New Roman" w:hAnsiTheme="majorHAnsi" w:cstheme="majorHAnsi"/>
                <w:sz w:val="16"/>
                <w:szCs w:val="16"/>
              </w:rPr>
            </w:pPr>
            <w:r w:rsidRPr="0059775E">
              <w:rPr>
                <w:rFonts w:asciiTheme="majorHAnsi" w:eastAsia="Times New Roman" w:hAnsiTheme="majorHAnsi" w:cstheme="majorHAnsi"/>
                <w:sz w:val="16"/>
                <w:szCs w:val="16"/>
              </w:rPr>
              <w:t>Delegate representing McKesson Canada Corporation (appointed by McKesson)</w:t>
            </w:r>
          </w:p>
        </w:tc>
      </w:tr>
      <w:tr w:rsidR="00074BA2" w:rsidRPr="009768EC" w14:paraId="099FDED7" w14:textId="77777777" w:rsidTr="00074BA2">
        <w:tc>
          <w:tcPr>
            <w:tcW w:w="540" w:type="dxa"/>
          </w:tcPr>
          <w:p w14:paraId="0440CEC1" w14:textId="77777777" w:rsidR="00074BA2" w:rsidRDefault="00074BA2" w:rsidP="00E2120B">
            <w:pPr>
              <w:spacing w:line="276" w:lineRule="auto"/>
              <w:jc w:val="both"/>
              <w:rPr>
                <w:rFonts w:asciiTheme="majorHAnsi" w:eastAsia="Times New Roman" w:hAnsiTheme="majorHAnsi" w:cstheme="majorHAnsi"/>
                <w:sz w:val="16"/>
                <w:szCs w:val="16"/>
              </w:rPr>
            </w:pPr>
            <w:r>
              <w:rPr>
                <w:rFonts w:asciiTheme="majorHAnsi" w:eastAsia="Times New Roman" w:hAnsiTheme="majorHAnsi" w:cstheme="majorHAnsi"/>
                <w:sz w:val="16"/>
                <w:szCs w:val="16"/>
              </w:rPr>
              <w:t>1</w:t>
            </w:r>
            <w:r w:rsidRPr="00C826D3">
              <w:rPr>
                <w:rFonts w:asciiTheme="majorHAnsi" w:eastAsia="Times New Roman" w:hAnsiTheme="majorHAnsi" w:cstheme="majorHAnsi"/>
                <w:color w:val="FF0000"/>
                <w:sz w:val="16"/>
                <w:szCs w:val="16"/>
              </w:rPr>
              <w:t>**</w:t>
            </w:r>
          </w:p>
        </w:tc>
        <w:tc>
          <w:tcPr>
            <w:tcW w:w="8910" w:type="dxa"/>
          </w:tcPr>
          <w:p w14:paraId="45488194" w14:textId="77777777" w:rsidR="00074BA2" w:rsidRPr="0059775E" w:rsidRDefault="00074BA2" w:rsidP="00E2120B">
            <w:pPr>
              <w:spacing w:line="276" w:lineRule="auto"/>
              <w:jc w:val="both"/>
              <w:rPr>
                <w:rFonts w:asciiTheme="majorHAnsi" w:eastAsia="Times New Roman" w:hAnsiTheme="majorHAnsi" w:cstheme="majorHAnsi"/>
                <w:sz w:val="16"/>
                <w:szCs w:val="16"/>
              </w:rPr>
            </w:pPr>
            <w:r w:rsidRPr="0059775E">
              <w:rPr>
                <w:rFonts w:asciiTheme="majorHAnsi" w:eastAsia="Times New Roman" w:hAnsiTheme="majorHAnsi" w:cstheme="majorHAnsi"/>
                <w:sz w:val="16"/>
                <w:szCs w:val="16"/>
              </w:rPr>
              <w:t xml:space="preserve">Delegate from a corporate pharmacy organization with an Ontario store count </w:t>
            </w:r>
            <w:r w:rsidRPr="0059775E">
              <w:rPr>
                <w:rFonts w:asciiTheme="majorHAnsi" w:eastAsia="Times New Roman" w:hAnsiTheme="majorHAnsi" w:cstheme="majorHAnsi"/>
                <w:sz w:val="16"/>
                <w:szCs w:val="16"/>
              </w:rPr>
              <w:sym w:font="Symbol" w:char="F0B3"/>
            </w:r>
            <w:r w:rsidRPr="0059775E">
              <w:rPr>
                <w:rFonts w:asciiTheme="majorHAnsi" w:eastAsia="Times New Roman" w:hAnsiTheme="majorHAnsi" w:cstheme="majorHAnsi"/>
                <w:sz w:val="16"/>
                <w:szCs w:val="16"/>
              </w:rPr>
              <w:t xml:space="preserve"> 750 (if none, this position shall remain vacant)</w:t>
            </w:r>
          </w:p>
        </w:tc>
      </w:tr>
      <w:tr w:rsidR="00074BA2" w:rsidRPr="009768EC" w14:paraId="22B2AB04" w14:textId="77777777" w:rsidTr="00074BA2">
        <w:tc>
          <w:tcPr>
            <w:tcW w:w="540" w:type="dxa"/>
          </w:tcPr>
          <w:p w14:paraId="553489F0"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r w:rsidRPr="00C826D3">
              <w:rPr>
                <w:rFonts w:asciiTheme="majorHAnsi" w:eastAsia="Times New Roman" w:hAnsiTheme="majorHAnsi" w:cstheme="majorHAnsi"/>
                <w:color w:val="FF0000"/>
                <w:sz w:val="16"/>
                <w:szCs w:val="16"/>
              </w:rPr>
              <w:t>**</w:t>
            </w:r>
          </w:p>
        </w:tc>
        <w:tc>
          <w:tcPr>
            <w:tcW w:w="8910" w:type="dxa"/>
          </w:tcPr>
          <w:p w14:paraId="5B9C9FFE" w14:textId="77777777" w:rsidR="00074BA2" w:rsidRPr="0059775E" w:rsidRDefault="00074BA2" w:rsidP="00E2120B">
            <w:pPr>
              <w:spacing w:line="276" w:lineRule="auto"/>
              <w:jc w:val="both"/>
              <w:rPr>
                <w:rFonts w:asciiTheme="majorHAnsi" w:eastAsia="Times New Roman" w:hAnsiTheme="majorHAnsi" w:cstheme="majorHAnsi"/>
                <w:sz w:val="16"/>
                <w:szCs w:val="16"/>
              </w:rPr>
            </w:pPr>
            <w:r w:rsidRPr="0059775E">
              <w:rPr>
                <w:rFonts w:asciiTheme="majorHAnsi" w:eastAsia="Times New Roman" w:hAnsiTheme="majorHAnsi" w:cstheme="majorHAnsi"/>
                <w:sz w:val="16"/>
                <w:szCs w:val="16"/>
              </w:rPr>
              <w:t>Delegate representing the broader membership of the Neighbourhood Pharmacy Association of Canada (appointed by NPAC)</w:t>
            </w:r>
          </w:p>
        </w:tc>
      </w:tr>
      <w:tr w:rsidR="00074BA2" w:rsidRPr="009768EC" w14:paraId="49777F7D" w14:textId="77777777" w:rsidTr="00074BA2">
        <w:tc>
          <w:tcPr>
            <w:tcW w:w="540" w:type="dxa"/>
          </w:tcPr>
          <w:p w14:paraId="3B5786D4"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r w:rsidRPr="00C826D3">
              <w:rPr>
                <w:rFonts w:asciiTheme="majorHAnsi" w:eastAsia="Times New Roman" w:hAnsiTheme="majorHAnsi" w:cstheme="majorHAnsi"/>
                <w:color w:val="FF0000"/>
                <w:sz w:val="16"/>
                <w:szCs w:val="16"/>
              </w:rPr>
              <w:t>**</w:t>
            </w:r>
          </w:p>
        </w:tc>
        <w:tc>
          <w:tcPr>
            <w:tcW w:w="8910" w:type="dxa"/>
          </w:tcPr>
          <w:p w14:paraId="27DC4CB5" w14:textId="77777777" w:rsidR="00074BA2" w:rsidRPr="0059775E" w:rsidRDefault="00074BA2" w:rsidP="00E2120B">
            <w:pPr>
              <w:spacing w:line="276" w:lineRule="auto"/>
              <w:jc w:val="both"/>
              <w:rPr>
                <w:rFonts w:asciiTheme="majorHAnsi" w:eastAsia="Times New Roman" w:hAnsiTheme="majorHAnsi" w:cstheme="majorHAnsi"/>
                <w:sz w:val="16"/>
                <w:szCs w:val="16"/>
              </w:rPr>
            </w:pPr>
            <w:r w:rsidRPr="0059775E">
              <w:rPr>
                <w:rFonts w:asciiTheme="majorHAnsi" w:eastAsia="Times New Roman" w:hAnsiTheme="majorHAnsi" w:cstheme="majorHAnsi"/>
                <w:sz w:val="16"/>
                <w:szCs w:val="16"/>
              </w:rPr>
              <w:t>Delegate selected from the Independent Pharmacy Coalition (</w:t>
            </w:r>
            <w:r w:rsidRPr="0059775E">
              <w:rPr>
                <w:rFonts w:ascii="Calibri" w:eastAsia="Calibri" w:hAnsi="Calibri" w:cs="Arial"/>
                <w:sz w:val="16"/>
                <w:szCs w:val="16"/>
              </w:rPr>
              <w:t>appointed by IPC)</w:t>
            </w:r>
          </w:p>
        </w:tc>
      </w:tr>
      <w:tr w:rsidR="00074BA2" w:rsidRPr="009768EC" w14:paraId="4F6E3379" w14:textId="77777777" w:rsidTr="00074BA2">
        <w:tc>
          <w:tcPr>
            <w:tcW w:w="9450" w:type="dxa"/>
            <w:gridSpan w:val="2"/>
            <w:shd w:val="clear" w:color="auto" w:fill="002060"/>
          </w:tcPr>
          <w:p w14:paraId="0862C00C" w14:textId="51F15449" w:rsidR="00074BA2" w:rsidRPr="009768EC" w:rsidRDefault="00074BA2" w:rsidP="00E2120B">
            <w:pPr>
              <w:spacing w:line="276" w:lineRule="auto"/>
              <w:jc w:val="center"/>
              <w:rPr>
                <w:rFonts w:asciiTheme="majorHAnsi" w:eastAsia="Times New Roman" w:hAnsiTheme="majorHAnsi" w:cstheme="majorHAnsi"/>
                <w:b/>
                <w:bCs/>
                <w:sz w:val="16"/>
                <w:szCs w:val="16"/>
              </w:rPr>
            </w:pPr>
            <w:r w:rsidRPr="009768EC">
              <w:rPr>
                <w:rFonts w:asciiTheme="majorHAnsi" w:eastAsia="Times New Roman" w:hAnsiTheme="majorHAnsi" w:cstheme="majorHAnsi"/>
                <w:b/>
                <w:bCs/>
                <w:sz w:val="20"/>
                <w:szCs w:val="20"/>
              </w:rPr>
              <w:t>OPA Staff Representation &amp; Other Supports (4</w:t>
            </w:r>
            <w:r>
              <w:rPr>
                <w:rFonts w:asciiTheme="majorHAnsi" w:eastAsia="Times New Roman" w:hAnsiTheme="majorHAnsi" w:cstheme="majorHAnsi"/>
                <w:b/>
                <w:bCs/>
                <w:sz w:val="20"/>
                <w:szCs w:val="20"/>
              </w:rPr>
              <w:t>+1</w:t>
            </w:r>
            <w:r w:rsidRPr="009768EC">
              <w:rPr>
                <w:rFonts w:asciiTheme="majorHAnsi" w:eastAsia="Times New Roman" w:hAnsiTheme="majorHAnsi" w:cstheme="majorHAnsi"/>
                <w:b/>
                <w:bCs/>
                <w:sz w:val="20"/>
                <w:szCs w:val="20"/>
              </w:rPr>
              <w:t>)</w:t>
            </w:r>
          </w:p>
        </w:tc>
      </w:tr>
      <w:tr w:rsidR="00074BA2" w:rsidRPr="009768EC" w14:paraId="0A65F954" w14:textId="77777777" w:rsidTr="00074BA2">
        <w:tc>
          <w:tcPr>
            <w:tcW w:w="540" w:type="dxa"/>
          </w:tcPr>
          <w:p w14:paraId="51B97BC1"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53CD69F0" w14:textId="77777777" w:rsidR="00074BA2" w:rsidRPr="009768EC" w:rsidRDefault="00074BA2" w:rsidP="00E2120B">
            <w:pPr>
              <w:spacing w:after="200" w:line="276" w:lineRule="auto"/>
              <w:contextualSpacing/>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OPA Chief Executive Officer (staff)</w:t>
            </w:r>
          </w:p>
        </w:tc>
      </w:tr>
      <w:tr w:rsidR="00074BA2" w:rsidRPr="009768EC" w14:paraId="5F434AA8" w14:textId="77777777" w:rsidTr="00074BA2">
        <w:tc>
          <w:tcPr>
            <w:tcW w:w="540" w:type="dxa"/>
          </w:tcPr>
          <w:p w14:paraId="051AB687"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6CD9168F"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OPA EVP and Chief Pharmacy Officer (staff)</w:t>
            </w:r>
          </w:p>
        </w:tc>
      </w:tr>
      <w:tr w:rsidR="00074BA2" w:rsidRPr="009768EC" w14:paraId="14E1C5BA" w14:textId="77777777" w:rsidTr="00074BA2">
        <w:tc>
          <w:tcPr>
            <w:tcW w:w="540" w:type="dxa"/>
          </w:tcPr>
          <w:p w14:paraId="3393FFA6"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4FC35D5E" w14:textId="77777777" w:rsidR="00074BA2" w:rsidRPr="009768EC" w:rsidRDefault="00074BA2" w:rsidP="00E2120B">
            <w:pPr>
              <w:spacing w:after="200" w:line="276" w:lineRule="auto"/>
              <w:contextualSpacing/>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OPA Director of Professional Affairs (staff)</w:t>
            </w:r>
          </w:p>
        </w:tc>
      </w:tr>
      <w:tr w:rsidR="00074BA2" w:rsidRPr="009768EC" w14:paraId="1C4FC304" w14:textId="77777777" w:rsidTr="00074BA2">
        <w:tc>
          <w:tcPr>
            <w:tcW w:w="540" w:type="dxa"/>
          </w:tcPr>
          <w:p w14:paraId="346B3D99"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1126E5EF"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Legal Counsel</w:t>
            </w:r>
          </w:p>
        </w:tc>
      </w:tr>
      <w:tr w:rsidR="00074BA2" w:rsidRPr="009768EC" w14:paraId="38D5510B" w14:textId="77777777" w:rsidTr="00074BA2">
        <w:tc>
          <w:tcPr>
            <w:tcW w:w="540" w:type="dxa"/>
          </w:tcPr>
          <w:p w14:paraId="05A01027" w14:textId="17A7196B" w:rsidR="00074BA2" w:rsidRPr="009768EC" w:rsidRDefault="00074BA2" w:rsidP="00E2120B">
            <w:pPr>
              <w:spacing w:line="276" w:lineRule="auto"/>
              <w:jc w:val="both"/>
              <w:rPr>
                <w:rFonts w:asciiTheme="majorHAnsi" w:eastAsia="Times New Roman" w:hAnsiTheme="majorHAnsi" w:cstheme="majorHAnsi"/>
                <w:sz w:val="16"/>
                <w:szCs w:val="16"/>
              </w:rPr>
            </w:pPr>
            <w:r>
              <w:rPr>
                <w:rFonts w:asciiTheme="majorHAnsi" w:eastAsia="Times New Roman" w:hAnsiTheme="majorHAnsi" w:cstheme="majorHAnsi"/>
                <w:sz w:val="16"/>
                <w:szCs w:val="16"/>
              </w:rPr>
              <w:t>1</w:t>
            </w:r>
            <w:r w:rsidRPr="00074BA2">
              <w:rPr>
                <w:rFonts w:asciiTheme="majorHAnsi" w:eastAsia="Times New Roman" w:hAnsiTheme="majorHAnsi" w:cstheme="majorHAnsi"/>
                <w:color w:val="FF0000"/>
                <w:sz w:val="16"/>
                <w:szCs w:val="16"/>
              </w:rPr>
              <w:t>***</w:t>
            </w:r>
          </w:p>
        </w:tc>
        <w:tc>
          <w:tcPr>
            <w:tcW w:w="8910" w:type="dxa"/>
          </w:tcPr>
          <w:p w14:paraId="68986130" w14:textId="3D708592" w:rsidR="00074BA2" w:rsidRPr="009768EC" w:rsidRDefault="00074BA2" w:rsidP="00E2120B">
            <w:pPr>
              <w:spacing w:line="276" w:lineRule="auto"/>
              <w:jc w:val="both"/>
              <w:rPr>
                <w:rFonts w:asciiTheme="majorHAnsi" w:eastAsia="Times New Roman" w:hAnsiTheme="majorHAnsi" w:cstheme="majorHAnsi"/>
                <w:sz w:val="16"/>
                <w:szCs w:val="16"/>
              </w:rPr>
            </w:pPr>
            <w:r>
              <w:rPr>
                <w:rFonts w:asciiTheme="majorHAnsi" w:eastAsia="Times New Roman" w:hAnsiTheme="majorHAnsi" w:cstheme="majorHAnsi"/>
                <w:sz w:val="16"/>
                <w:szCs w:val="16"/>
              </w:rPr>
              <w:t>OPA Chair of the Board (</w:t>
            </w:r>
            <w:r w:rsidRPr="001A6B60">
              <w:rPr>
                <w:rFonts w:asciiTheme="majorHAnsi" w:eastAsia="Times New Roman" w:hAnsiTheme="majorHAnsi" w:cstheme="majorHAnsi"/>
                <w:i/>
                <w:iCs/>
                <w:sz w:val="16"/>
                <w:szCs w:val="16"/>
              </w:rPr>
              <w:t>ex officio</w:t>
            </w:r>
            <w:r>
              <w:rPr>
                <w:rFonts w:asciiTheme="majorHAnsi" w:eastAsia="Times New Roman" w:hAnsiTheme="majorHAnsi" w:cstheme="majorHAnsi"/>
                <w:sz w:val="16"/>
                <w:szCs w:val="16"/>
              </w:rPr>
              <w:t>)</w:t>
            </w:r>
          </w:p>
        </w:tc>
      </w:tr>
      <w:tr w:rsidR="00074BA2" w:rsidRPr="009768EC" w14:paraId="030C7154" w14:textId="77777777" w:rsidTr="00074BA2">
        <w:tc>
          <w:tcPr>
            <w:tcW w:w="9450" w:type="dxa"/>
            <w:gridSpan w:val="2"/>
            <w:shd w:val="clear" w:color="auto" w:fill="002060"/>
          </w:tcPr>
          <w:p w14:paraId="3AF924FA" w14:textId="77777777" w:rsidR="00074BA2" w:rsidRPr="009768EC" w:rsidRDefault="00074BA2" w:rsidP="00E2120B">
            <w:pPr>
              <w:spacing w:line="276" w:lineRule="auto"/>
              <w:jc w:val="center"/>
              <w:rPr>
                <w:rFonts w:asciiTheme="majorHAnsi" w:eastAsia="Times New Roman" w:hAnsiTheme="majorHAnsi" w:cstheme="majorHAnsi"/>
                <w:b/>
                <w:bCs/>
                <w:sz w:val="16"/>
                <w:szCs w:val="16"/>
              </w:rPr>
            </w:pPr>
            <w:r w:rsidRPr="009768EC">
              <w:rPr>
                <w:rFonts w:asciiTheme="majorHAnsi" w:eastAsia="Times New Roman" w:hAnsiTheme="majorHAnsi" w:cstheme="majorHAnsi"/>
                <w:b/>
                <w:bCs/>
                <w:sz w:val="20"/>
                <w:szCs w:val="20"/>
              </w:rPr>
              <w:t>By Invitation on an Issue-by-Issue Basis (4)</w:t>
            </w:r>
          </w:p>
        </w:tc>
      </w:tr>
      <w:tr w:rsidR="00074BA2" w:rsidRPr="009768EC" w14:paraId="24BB442C" w14:textId="77777777" w:rsidTr="00074BA2">
        <w:tc>
          <w:tcPr>
            <w:tcW w:w="540" w:type="dxa"/>
          </w:tcPr>
          <w:p w14:paraId="0F644337"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14734218"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Ad hoc representation (1) from specialty pharmacy</w:t>
            </w:r>
          </w:p>
        </w:tc>
      </w:tr>
      <w:tr w:rsidR="00074BA2" w:rsidRPr="009768EC" w14:paraId="36D6351A" w14:textId="77777777" w:rsidTr="00074BA2">
        <w:tc>
          <w:tcPr>
            <w:tcW w:w="540" w:type="dxa"/>
          </w:tcPr>
          <w:p w14:paraId="3F332154"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27926916"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Ad hoc representation (1) from primary care pharmacy (e.g., FHT, OHT)</w:t>
            </w:r>
          </w:p>
        </w:tc>
      </w:tr>
      <w:tr w:rsidR="00074BA2" w:rsidRPr="009768EC" w14:paraId="3FEF3EF5" w14:textId="77777777" w:rsidTr="00074BA2">
        <w:tc>
          <w:tcPr>
            <w:tcW w:w="540" w:type="dxa"/>
          </w:tcPr>
          <w:p w14:paraId="52C0048E"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2B7B9AD2"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Ad hoc representation (1) from hospital pharmacy (CSHP-OB)</w:t>
            </w:r>
          </w:p>
        </w:tc>
      </w:tr>
      <w:tr w:rsidR="00074BA2" w:rsidRPr="009768EC" w14:paraId="52B4BA41" w14:textId="77777777" w:rsidTr="00074BA2">
        <w:tc>
          <w:tcPr>
            <w:tcW w:w="540" w:type="dxa"/>
          </w:tcPr>
          <w:p w14:paraId="584F2095"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1</w:t>
            </w:r>
          </w:p>
        </w:tc>
        <w:tc>
          <w:tcPr>
            <w:tcW w:w="8910" w:type="dxa"/>
          </w:tcPr>
          <w:p w14:paraId="6EA1DD53" w14:textId="77777777" w:rsidR="00074BA2" w:rsidRPr="009768EC" w:rsidRDefault="00074BA2" w:rsidP="00E2120B">
            <w:pPr>
              <w:spacing w:line="276" w:lineRule="auto"/>
              <w:jc w:val="both"/>
              <w:rPr>
                <w:rFonts w:asciiTheme="majorHAnsi" w:eastAsia="Times New Roman" w:hAnsiTheme="majorHAnsi" w:cstheme="majorHAnsi"/>
                <w:sz w:val="16"/>
                <w:szCs w:val="16"/>
              </w:rPr>
            </w:pPr>
            <w:r w:rsidRPr="009768EC">
              <w:rPr>
                <w:rFonts w:asciiTheme="majorHAnsi" w:eastAsia="Times New Roman" w:hAnsiTheme="majorHAnsi" w:cstheme="majorHAnsi"/>
                <w:sz w:val="16"/>
                <w:szCs w:val="16"/>
              </w:rPr>
              <w:t>Ad hoc representation (1) from LTC Pharmacy Coalition</w:t>
            </w:r>
          </w:p>
        </w:tc>
      </w:tr>
    </w:tbl>
    <w:p w14:paraId="06DA8EC1" w14:textId="6DCAD10A" w:rsidR="007C085F" w:rsidRPr="00610DEA" w:rsidRDefault="0076025B" w:rsidP="0076025B">
      <w:pPr>
        <w:spacing w:line="276" w:lineRule="auto"/>
        <w:ind w:right="-277"/>
        <w:jc w:val="both"/>
        <w:rPr>
          <w:rFonts w:asciiTheme="majorHAnsi" w:eastAsia="Times New Roman" w:hAnsiTheme="majorHAnsi" w:cstheme="majorHAnsi"/>
          <w:i/>
          <w:iCs/>
          <w:color w:val="FF0000"/>
          <w:sz w:val="16"/>
          <w:szCs w:val="16"/>
        </w:rPr>
      </w:pPr>
      <w:r w:rsidRPr="00610DEA">
        <w:rPr>
          <w:rFonts w:asciiTheme="majorHAnsi" w:eastAsia="Times New Roman" w:hAnsiTheme="majorHAnsi" w:cstheme="majorHAnsi"/>
          <w:i/>
          <w:iCs/>
          <w:color w:val="FF0000"/>
          <w:sz w:val="16"/>
          <w:szCs w:val="16"/>
        </w:rPr>
        <w:t xml:space="preserve">     </w:t>
      </w:r>
      <w:r w:rsidR="001C3D0B" w:rsidRPr="00610DEA">
        <w:rPr>
          <w:rFonts w:asciiTheme="majorHAnsi" w:eastAsia="Times New Roman" w:hAnsiTheme="majorHAnsi" w:cstheme="majorHAnsi"/>
          <w:i/>
          <w:iCs/>
          <w:color w:val="FF0000"/>
          <w:sz w:val="16"/>
          <w:szCs w:val="16"/>
        </w:rPr>
        <w:t xml:space="preserve">* </w:t>
      </w:r>
      <w:r w:rsidR="00D71601" w:rsidRPr="00610DEA">
        <w:rPr>
          <w:rFonts w:asciiTheme="majorHAnsi" w:eastAsia="Times New Roman" w:hAnsiTheme="majorHAnsi" w:cstheme="majorHAnsi"/>
          <w:i/>
          <w:iCs/>
          <w:color w:val="FF0000"/>
          <w:sz w:val="16"/>
          <w:szCs w:val="16"/>
        </w:rPr>
        <w:t xml:space="preserve"> </w:t>
      </w:r>
      <w:r w:rsidRPr="00610DEA">
        <w:rPr>
          <w:rFonts w:asciiTheme="majorHAnsi" w:eastAsia="Times New Roman" w:hAnsiTheme="majorHAnsi" w:cstheme="majorHAnsi"/>
          <w:i/>
          <w:iCs/>
          <w:color w:val="FF0000"/>
          <w:sz w:val="16"/>
          <w:szCs w:val="16"/>
        </w:rPr>
        <w:t xml:space="preserve">  </w:t>
      </w:r>
      <w:r w:rsidR="00D71601" w:rsidRPr="00610DEA">
        <w:rPr>
          <w:rFonts w:asciiTheme="majorHAnsi" w:eastAsia="Times New Roman" w:hAnsiTheme="majorHAnsi" w:cstheme="majorHAnsi"/>
          <w:i/>
          <w:iCs/>
          <w:color w:val="FF0000"/>
          <w:sz w:val="16"/>
          <w:szCs w:val="16"/>
        </w:rPr>
        <w:t xml:space="preserve"> Elected delegates </w:t>
      </w:r>
      <w:r w:rsidR="001C3D0B" w:rsidRPr="00610DEA">
        <w:rPr>
          <w:rFonts w:asciiTheme="majorHAnsi" w:eastAsia="Times New Roman" w:hAnsiTheme="majorHAnsi" w:cstheme="majorHAnsi"/>
          <w:i/>
          <w:iCs/>
          <w:color w:val="FF0000"/>
          <w:sz w:val="16"/>
          <w:szCs w:val="16"/>
        </w:rPr>
        <w:t>must not be from the same corporate entity or banner group</w:t>
      </w:r>
    </w:p>
    <w:p w14:paraId="40CE42BF" w14:textId="4D19CC72" w:rsidR="00D71601" w:rsidRPr="00610DEA" w:rsidRDefault="0076025B" w:rsidP="0076025B">
      <w:pPr>
        <w:spacing w:line="276" w:lineRule="auto"/>
        <w:ind w:right="-277"/>
        <w:jc w:val="both"/>
        <w:rPr>
          <w:rFonts w:asciiTheme="majorHAnsi" w:eastAsia="Times New Roman" w:hAnsiTheme="majorHAnsi" w:cstheme="majorHAnsi"/>
          <w:i/>
          <w:iCs/>
          <w:color w:val="FF0000"/>
          <w:sz w:val="16"/>
          <w:szCs w:val="16"/>
        </w:rPr>
      </w:pPr>
      <w:r w:rsidRPr="00610DEA">
        <w:rPr>
          <w:rFonts w:asciiTheme="majorHAnsi" w:eastAsia="Times New Roman" w:hAnsiTheme="majorHAnsi" w:cstheme="majorHAnsi"/>
          <w:i/>
          <w:iCs/>
          <w:color w:val="FF0000"/>
          <w:sz w:val="16"/>
          <w:szCs w:val="16"/>
        </w:rPr>
        <w:t xml:space="preserve">     </w:t>
      </w:r>
      <w:r w:rsidR="00D71601" w:rsidRPr="00610DEA">
        <w:rPr>
          <w:rFonts w:asciiTheme="majorHAnsi" w:eastAsia="Times New Roman" w:hAnsiTheme="majorHAnsi" w:cstheme="majorHAnsi"/>
          <w:i/>
          <w:iCs/>
          <w:color w:val="FF0000"/>
          <w:sz w:val="16"/>
          <w:szCs w:val="16"/>
        </w:rPr>
        <w:t xml:space="preserve">** </w:t>
      </w:r>
      <w:r w:rsidRPr="00610DEA">
        <w:rPr>
          <w:rFonts w:asciiTheme="majorHAnsi" w:eastAsia="Times New Roman" w:hAnsiTheme="majorHAnsi" w:cstheme="majorHAnsi"/>
          <w:i/>
          <w:iCs/>
          <w:color w:val="FF0000"/>
          <w:sz w:val="16"/>
          <w:szCs w:val="16"/>
        </w:rPr>
        <w:t xml:space="preserve">  </w:t>
      </w:r>
      <w:r w:rsidR="00D71601" w:rsidRPr="00610DEA">
        <w:rPr>
          <w:rFonts w:asciiTheme="majorHAnsi" w:eastAsia="Times New Roman" w:hAnsiTheme="majorHAnsi" w:cstheme="majorHAnsi"/>
          <w:i/>
          <w:iCs/>
          <w:color w:val="FF0000"/>
          <w:sz w:val="16"/>
          <w:szCs w:val="16"/>
        </w:rPr>
        <w:t>Appointed delegates are to be selected by their respective organizations</w:t>
      </w:r>
    </w:p>
    <w:p w14:paraId="022583CF" w14:textId="4BB64076" w:rsidR="0076025B" w:rsidRPr="00610DEA" w:rsidRDefault="0076025B" w:rsidP="0076025B">
      <w:pPr>
        <w:spacing w:line="276" w:lineRule="auto"/>
        <w:ind w:right="-277"/>
        <w:jc w:val="both"/>
        <w:rPr>
          <w:rFonts w:asciiTheme="majorHAnsi" w:eastAsia="Times New Roman" w:hAnsiTheme="majorHAnsi" w:cstheme="majorHAnsi"/>
          <w:i/>
          <w:iCs/>
          <w:color w:val="FF0000"/>
          <w:sz w:val="16"/>
          <w:szCs w:val="16"/>
        </w:rPr>
      </w:pPr>
      <w:r w:rsidRPr="00610DEA">
        <w:rPr>
          <w:rFonts w:asciiTheme="majorHAnsi" w:eastAsia="Times New Roman" w:hAnsiTheme="majorHAnsi" w:cstheme="majorHAnsi"/>
          <w:i/>
          <w:iCs/>
          <w:color w:val="FF0000"/>
          <w:sz w:val="16"/>
          <w:szCs w:val="16"/>
        </w:rPr>
        <w:t xml:space="preserve">     *** OPA Chair of the Board will sit as ex officio only if there is no sitting Board member elected or appointed to the EC</w:t>
      </w:r>
    </w:p>
    <w:p w14:paraId="02A036E0" w14:textId="2D0B59E5" w:rsidR="0023274B" w:rsidRPr="009768EC" w:rsidRDefault="009768EC" w:rsidP="0076025B">
      <w:pPr>
        <w:shd w:val="clear" w:color="auto" w:fill="DAEEF3" w:themeFill="accent5" w:themeFillTint="33"/>
        <w:spacing w:before="240" w:line="276" w:lineRule="auto"/>
        <w:ind w:left="-450" w:right="-277"/>
        <w:jc w:val="both"/>
        <w:rPr>
          <w:rFonts w:asciiTheme="majorHAnsi" w:eastAsia="Times New Roman" w:hAnsiTheme="majorHAnsi" w:cstheme="majorHAnsi"/>
          <w:b/>
          <w:bCs/>
          <w:sz w:val="22"/>
          <w:szCs w:val="22"/>
        </w:rPr>
      </w:pPr>
      <w:bookmarkStart w:id="1" w:name="_Hlk44443942"/>
      <w:r w:rsidRPr="009768EC">
        <w:rPr>
          <w:rFonts w:asciiTheme="majorHAnsi" w:eastAsia="Times New Roman" w:hAnsiTheme="majorHAnsi" w:cstheme="majorHAnsi"/>
          <w:b/>
          <w:bCs/>
          <w:sz w:val="22"/>
          <w:szCs w:val="22"/>
        </w:rPr>
        <w:t>COMMITTEE GOVERNANCE</w:t>
      </w:r>
      <w:r w:rsidR="009D738D" w:rsidRPr="009768EC">
        <w:rPr>
          <w:rFonts w:asciiTheme="majorHAnsi" w:eastAsia="Times New Roman" w:hAnsiTheme="majorHAnsi" w:cstheme="majorHAnsi"/>
          <w:b/>
          <w:bCs/>
          <w:sz w:val="22"/>
          <w:szCs w:val="22"/>
        </w:rPr>
        <w:t xml:space="preserve"> </w:t>
      </w:r>
    </w:p>
    <w:p w14:paraId="1C828312" w14:textId="7723DDAD" w:rsidR="0023274B" w:rsidRPr="009768EC" w:rsidRDefault="008E0CAC" w:rsidP="0076025B">
      <w:pPr>
        <w:pStyle w:val="ListParagraph"/>
        <w:numPr>
          <w:ilvl w:val="0"/>
          <w:numId w:val="14"/>
        </w:numPr>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The term for each elected representative shall be one (1) year with a renewable option for one additional year. </w:t>
      </w:r>
      <w:r w:rsidR="00D6218D" w:rsidRPr="009768EC">
        <w:rPr>
          <w:rFonts w:asciiTheme="majorHAnsi" w:eastAsia="Times New Roman" w:hAnsiTheme="majorHAnsi" w:cstheme="majorHAnsi"/>
          <w:sz w:val="19"/>
          <w:szCs w:val="19"/>
        </w:rPr>
        <w:t>Oversight of the electoral process with be via the GNC</w:t>
      </w:r>
      <w:r w:rsidR="005932B6" w:rsidRPr="009768EC">
        <w:rPr>
          <w:rFonts w:asciiTheme="majorHAnsi" w:eastAsia="Times New Roman" w:hAnsiTheme="majorHAnsi" w:cstheme="majorHAnsi"/>
          <w:sz w:val="19"/>
          <w:szCs w:val="19"/>
        </w:rPr>
        <w:t>.</w:t>
      </w:r>
    </w:p>
    <w:p w14:paraId="64DC1F76" w14:textId="77777777" w:rsidR="005932B6" w:rsidRPr="009768EC" w:rsidRDefault="008E0CAC" w:rsidP="0076025B">
      <w:pPr>
        <w:pStyle w:val="ListParagraph"/>
        <w:numPr>
          <w:ilvl w:val="0"/>
          <w:numId w:val="14"/>
        </w:numPr>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When a vacancy occurs in any elected position, the Board shall solicit nominations from the </w:t>
      </w:r>
      <w:r w:rsidR="005932B6" w:rsidRPr="009768EC">
        <w:rPr>
          <w:rFonts w:asciiTheme="majorHAnsi" w:eastAsia="Times New Roman" w:hAnsiTheme="majorHAnsi" w:cstheme="majorHAnsi"/>
          <w:sz w:val="19"/>
          <w:szCs w:val="19"/>
        </w:rPr>
        <w:t xml:space="preserve">2020-21 </w:t>
      </w:r>
      <w:r w:rsidRPr="009768EC">
        <w:rPr>
          <w:rFonts w:asciiTheme="majorHAnsi" w:eastAsia="Times New Roman" w:hAnsiTheme="majorHAnsi" w:cstheme="majorHAnsi"/>
          <w:sz w:val="19"/>
          <w:szCs w:val="19"/>
        </w:rPr>
        <w:t>membership of the Owners Advisory Council or</w:t>
      </w:r>
      <w:r w:rsidR="003F2DA5" w:rsidRPr="009768EC">
        <w:rPr>
          <w:rFonts w:asciiTheme="majorHAnsi" w:eastAsia="Times New Roman" w:hAnsiTheme="majorHAnsi" w:cstheme="majorHAnsi"/>
          <w:sz w:val="19"/>
          <w:szCs w:val="19"/>
        </w:rPr>
        <w:t>, if warranted and approved by the GNC</w:t>
      </w:r>
      <w:r w:rsidR="005932B6" w:rsidRPr="009768EC">
        <w:rPr>
          <w:rFonts w:asciiTheme="majorHAnsi" w:eastAsia="Times New Roman" w:hAnsiTheme="majorHAnsi" w:cstheme="majorHAnsi"/>
          <w:sz w:val="19"/>
          <w:szCs w:val="19"/>
        </w:rPr>
        <w:t>,</w:t>
      </w:r>
      <w:r w:rsidR="003F2DA5" w:rsidRPr="009768EC">
        <w:rPr>
          <w:rFonts w:asciiTheme="majorHAnsi" w:eastAsia="Times New Roman" w:hAnsiTheme="majorHAnsi" w:cstheme="majorHAnsi"/>
          <w:sz w:val="19"/>
          <w:szCs w:val="19"/>
        </w:rPr>
        <w:t xml:space="preserve"> </w:t>
      </w:r>
      <w:r w:rsidRPr="009768EC">
        <w:rPr>
          <w:rFonts w:asciiTheme="majorHAnsi" w:eastAsia="Times New Roman" w:hAnsiTheme="majorHAnsi" w:cstheme="majorHAnsi"/>
          <w:sz w:val="19"/>
          <w:szCs w:val="19"/>
        </w:rPr>
        <w:t xml:space="preserve">from general </w:t>
      </w:r>
      <w:r w:rsidR="003F2DA5" w:rsidRPr="009768EC">
        <w:rPr>
          <w:rFonts w:asciiTheme="majorHAnsi" w:eastAsia="Times New Roman" w:hAnsiTheme="majorHAnsi" w:cstheme="majorHAnsi"/>
          <w:sz w:val="19"/>
          <w:szCs w:val="19"/>
        </w:rPr>
        <w:t xml:space="preserve">OPA </w:t>
      </w:r>
      <w:r w:rsidRPr="009768EC">
        <w:rPr>
          <w:rFonts w:asciiTheme="majorHAnsi" w:eastAsia="Times New Roman" w:hAnsiTheme="majorHAnsi" w:cstheme="majorHAnsi"/>
          <w:sz w:val="19"/>
          <w:szCs w:val="19"/>
        </w:rPr>
        <w:t xml:space="preserve">membership. </w:t>
      </w:r>
    </w:p>
    <w:p w14:paraId="7A3D300F" w14:textId="18A393E1" w:rsidR="0023274B" w:rsidRPr="009768EC" w:rsidRDefault="005932B6" w:rsidP="0076025B">
      <w:pPr>
        <w:pStyle w:val="ListParagraph"/>
        <w:numPr>
          <w:ilvl w:val="0"/>
          <w:numId w:val="16"/>
        </w:numPr>
        <w:ind w:left="360" w:right="623"/>
        <w:jc w:val="both"/>
        <w:rPr>
          <w:rFonts w:asciiTheme="majorHAnsi" w:eastAsia="Times New Roman" w:hAnsiTheme="majorHAnsi" w:cstheme="majorHAnsi"/>
          <w:i/>
          <w:iCs/>
          <w:sz w:val="19"/>
          <w:szCs w:val="19"/>
        </w:rPr>
      </w:pPr>
      <w:r w:rsidRPr="009768EC">
        <w:rPr>
          <w:rFonts w:asciiTheme="majorHAnsi" w:eastAsia="Times New Roman" w:hAnsiTheme="majorHAnsi" w:cstheme="majorHAnsi"/>
          <w:i/>
          <w:iCs/>
          <w:sz w:val="19"/>
          <w:szCs w:val="19"/>
        </w:rPr>
        <w:t xml:space="preserve">Note: To nominate </w:t>
      </w:r>
      <w:r w:rsidR="007F157A" w:rsidRPr="009768EC">
        <w:rPr>
          <w:rFonts w:asciiTheme="majorHAnsi" w:eastAsia="Times New Roman" w:hAnsiTheme="majorHAnsi" w:cstheme="majorHAnsi"/>
          <w:i/>
          <w:iCs/>
          <w:sz w:val="19"/>
          <w:szCs w:val="19"/>
        </w:rPr>
        <w:t xml:space="preserve">an OAC member </w:t>
      </w:r>
      <w:r w:rsidRPr="009768EC">
        <w:rPr>
          <w:rFonts w:asciiTheme="majorHAnsi" w:eastAsia="Times New Roman" w:hAnsiTheme="majorHAnsi" w:cstheme="majorHAnsi"/>
          <w:i/>
          <w:iCs/>
          <w:sz w:val="19"/>
          <w:szCs w:val="19"/>
        </w:rPr>
        <w:t xml:space="preserve">or be nominated for </w:t>
      </w:r>
      <w:r w:rsidR="0059775E">
        <w:rPr>
          <w:rFonts w:asciiTheme="majorHAnsi" w:eastAsia="Times New Roman" w:hAnsiTheme="majorHAnsi" w:cstheme="majorHAnsi"/>
          <w:i/>
          <w:iCs/>
          <w:sz w:val="19"/>
          <w:szCs w:val="19"/>
        </w:rPr>
        <w:t>Economics Committee</w:t>
      </w:r>
      <w:r w:rsidRPr="009768EC">
        <w:rPr>
          <w:rFonts w:asciiTheme="majorHAnsi" w:eastAsia="Times New Roman" w:hAnsiTheme="majorHAnsi" w:cstheme="majorHAnsi"/>
          <w:i/>
          <w:iCs/>
          <w:sz w:val="19"/>
          <w:szCs w:val="19"/>
        </w:rPr>
        <w:t xml:space="preserve"> seat, OAC membership dues for 2020-21 must be paid in full.</w:t>
      </w:r>
      <w:r w:rsidR="008E0CAC" w:rsidRPr="009768EC">
        <w:rPr>
          <w:rFonts w:asciiTheme="majorHAnsi" w:eastAsia="Times New Roman" w:hAnsiTheme="majorHAnsi" w:cstheme="majorHAnsi"/>
          <w:i/>
          <w:iCs/>
          <w:sz w:val="19"/>
          <w:szCs w:val="19"/>
        </w:rPr>
        <w:t xml:space="preserve">  </w:t>
      </w:r>
      <w:bookmarkStart w:id="2" w:name="_Hlk42195158"/>
    </w:p>
    <w:p w14:paraId="3A349F52" w14:textId="17161384" w:rsidR="00610DEA" w:rsidRDefault="00610DEA" w:rsidP="0076025B">
      <w:pPr>
        <w:pStyle w:val="ListParagraph"/>
        <w:numPr>
          <w:ilvl w:val="0"/>
          <w:numId w:val="14"/>
        </w:numPr>
        <w:ind w:left="-450" w:right="-277"/>
        <w:jc w:val="both"/>
        <w:rPr>
          <w:rFonts w:asciiTheme="majorHAnsi" w:eastAsia="Times New Roman" w:hAnsiTheme="majorHAnsi" w:cstheme="majorHAnsi"/>
          <w:sz w:val="19"/>
          <w:szCs w:val="19"/>
        </w:rPr>
      </w:pPr>
      <w:r>
        <w:rPr>
          <w:rFonts w:asciiTheme="majorHAnsi" w:eastAsia="Times New Roman" w:hAnsiTheme="majorHAnsi" w:cstheme="majorHAnsi"/>
          <w:sz w:val="19"/>
          <w:szCs w:val="19"/>
        </w:rPr>
        <w:t>Wh</w:t>
      </w:r>
      <w:r w:rsidR="001A6B60">
        <w:rPr>
          <w:rFonts w:asciiTheme="majorHAnsi" w:eastAsia="Times New Roman" w:hAnsiTheme="majorHAnsi" w:cstheme="majorHAnsi"/>
          <w:sz w:val="19"/>
          <w:szCs w:val="19"/>
        </w:rPr>
        <w:t>ile</w:t>
      </w:r>
      <w:r>
        <w:rPr>
          <w:rFonts w:asciiTheme="majorHAnsi" w:eastAsia="Times New Roman" w:hAnsiTheme="majorHAnsi" w:cstheme="majorHAnsi"/>
          <w:sz w:val="19"/>
          <w:szCs w:val="19"/>
        </w:rPr>
        <w:t xml:space="preserve"> it is the prerogative for the OPA Chair of the Board to sit as </w:t>
      </w:r>
      <w:r>
        <w:rPr>
          <w:rFonts w:asciiTheme="majorHAnsi" w:eastAsia="Times New Roman" w:hAnsiTheme="majorHAnsi" w:cstheme="majorHAnsi"/>
          <w:i/>
          <w:iCs/>
          <w:sz w:val="19"/>
          <w:szCs w:val="19"/>
        </w:rPr>
        <w:t>ex officio</w:t>
      </w:r>
      <w:r>
        <w:rPr>
          <w:rFonts w:asciiTheme="majorHAnsi" w:eastAsia="Times New Roman" w:hAnsiTheme="majorHAnsi" w:cstheme="majorHAnsi"/>
          <w:sz w:val="19"/>
          <w:szCs w:val="19"/>
        </w:rPr>
        <w:t xml:space="preserve"> on any OPA committee, working group or task force, the Chair will only </w:t>
      </w:r>
      <w:r w:rsidR="001A6B60">
        <w:rPr>
          <w:rFonts w:asciiTheme="majorHAnsi" w:eastAsia="Times New Roman" w:hAnsiTheme="majorHAnsi" w:cstheme="majorHAnsi"/>
          <w:sz w:val="19"/>
          <w:szCs w:val="19"/>
        </w:rPr>
        <w:t xml:space="preserve">participate in EC meetings in this capacity </w:t>
      </w:r>
      <w:r>
        <w:rPr>
          <w:rFonts w:asciiTheme="majorHAnsi" w:eastAsia="Times New Roman" w:hAnsiTheme="majorHAnsi" w:cstheme="majorHAnsi"/>
          <w:sz w:val="19"/>
          <w:szCs w:val="19"/>
        </w:rPr>
        <w:t xml:space="preserve">where there is no </w:t>
      </w:r>
      <w:r w:rsidR="001A6B60">
        <w:rPr>
          <w:rFonts w:asciiTheme="majorHAnsi" w:eastAsia="Times New Roman" w:hAnsiTheme="majorHAnsi" w:cstheme="majorHAnsi"/>
          <w:sz w:val="19"/>
          <w:szCs w:val="19"/>
        </w:rPr>
        <w:t xml:space="preserve">current OPA </w:t>
      </w:r>
      <w:r>
        <w:rPr>
          <w:rFonts w:asciiTheme="majorHAnsi" w:eastAsia="Times New Roman" w:hAnsiTheme="majorHAnsi" w:cstheme="majorHAnsi"/>
          <w:sz w:val="19"/>
          <w:szCs w:val="19"/>
        </w:rPr>
        <w:t>Board member sitting as an elected or appointed member of the Economics Committee</w:t>
      </w:r>
      <w:r w:rsidR="001A6B60">
        <w:rPr>
          <w:rFonts w:asciiTheme="majorHAnsi" w:eastAsia="Times New Roman" w:hAnsiTheme="majorHAnsi" w:cstheme="majorHAnsi"/>
          <w:sz w:val="19"/>
          <w:szCs w:val="19"/>
        </w:rPr>
        <w:t>, unless specifically invited by the co-chairs or the CEO</w:t>
      </w:r>
      <w:r>
        <w:rPr>
          <w:rFonts w:asciiTheme="majorHAnsi" w:eastAsia="Times New Roman" w:hAnsiTheme="majorHAnsi" w:cstheme="majorHAnsi"/>
          <w:sz w:val="19"/>
          <w:szCs w:val="19"/>
        </w:rPr>
        <w:t>.</w:t>
      </w:r>
    </w:p>
    <w:p w14:paraId="2B067054" w14:textId="2DE4B65B" w:rsidR="0023274B" w:rsidRPr="009768EC" w:rsidRDefault="008E0CAC" w:rsidP="0076025B">
      <w:pPr>
        <w:pStyle w:val="ListParagraph"/>
        <w:numPr>
          <w:ilvl w:val="0"/>
          <w:numId w:val="14"/>
        </w:numPr>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The </w:t>
      </w:r>
      <w:r w:rsidR="003065E7" w:rsidRPr="009768EC">
        <w:rPr>
          <w:rFonts w:asciiTheme="majorHAnsi" w:eastAsia="Times New Roman" w:hAnsiTheme="majorHAnsi" w:cstheme="majorHAnsi"/>
          <w:sz w:val="19"/>
          <w:szCs w:val="19"/>
        </w:rPr>
        <w:t>Economics</w:t>
      </w:r>
      <w:r w:rsidRPr="009768EC">
        <w:rPr>
          <w:rFonts w:asciiTheme="majorHAnsi" w:eastAsia="Times New Roman" w:hAnsiTheme="majorHAnsi" w:cstheme="majorHAnsi"/>
          <w:sz w:val="19"/>
          <w:szCs w:val="19"/>
        </w:rPr>
        <w:t xml:space="preserve"> Committee </w:t>
      </w:r>
      <w:r w:rsidR="007F157A" w:rsidRPr="009768EC">
        <w:rPr>
          <w:rFonts w:asciiTheme="majorHAnsi" w:eastAsia="Times New Roman" w:hAnsiTheme="majorHAnsi" w:cstheme="majorHAnsi"/>
          <w:sz w:val="19"/>
          <w:szCs w:val="19"/>
        </w:rPr>
        <w:t xml:space="preserve">will be jointly chaired by a delegate representing OPA Staff and by a member of the </w:t>
      </w:r>
      <w:r w:rsidR="0059775E">
        <w:rPr>
          <w:rFonts w:asciiTheme="majorHAnsi" w:eastAsia="Times New Roman" w:hAnsiTheme="majorHAnsi" w:cstheme="majorHAnsi"/>
          <w:sz w:val="19"/>
          <w:szCs w:val="19"/>
        </w:rPr>
        <w:t xml:space="preserve">Economics Committee </w:t>
      </w:r>
      <w:r w:rsidR="007F157A" w:rsidRPr="009768EC">
        <w:rPr>
          <w:rFonts w:asciiTheme="majorHAnsi" w:eastAsia="Times New Roman" w:hAnsiTheme="majorHAnsi" w:cstheme="majorHAnsi"/>
          <w:sz w:val="19"/>
          <w:szCs w:val="19"/>
        </w:rPr>
        <w:t xml:space="preserve">duly elected by its delegates. The EC member chair </w:t>
      </w:r>
      <w:r w:rsidRPr="009768EC">
        <w:rPr>
          <w:rFonts w:asciiTheme="majorHAnsi" w:eastAsia="Times New Roman" w:hAnsiTheme="majorHAnsi" w:cstheme="majorHAnsi"/>
          <w:sz w:val="19"/>
          <w:szCs w:val="19"/>
        </w:rPr>
        <w:t xml:space="preserve">shall </w:t>
      </w:r>
      <w:r w:rsidR="007F157A" w:rsidRPr="009768EC">
        <w:rPr>
          <w:rFonts w:asciiTheme="majorHAnsi" w:eastAsia="Times New Roman" w:hAnsiTheme="majorHAnsi" w:cstheme="majorHAnsi"/>
          <w:sz w:val="19"/>
          <w:szCs w:val="19"/>
        </w:rPr>
        <w:t>serve a term of not more than two (2) consecutive years</w:t>
      </w:r>
      <w:r w:rsidRPr="009768EC">
        <w:rPr>
          <w:rFonts w:asciiTheme="majorHAnsi" w:eastAsia="Times New Roman" w:hAnsiTheme="majorHAnsi" w:cstheme="majorHAnsi"/>
          <w:sz w:val="19"/>
          <w:szCs w:val="19"/>
        </w:rPr>
        <w:t xml:space="preserve">. </w:t>
      </w:r>
    </w:p>
    <w:p w14:paraId="4F889954" w14:textId="17E0DD99" w:rsidR="0023274B" w:rsidRPr="009768EC" w:rsidRDefault="008E0CAC" w:rsidP="0076025B">
      <w:pPr>
        <w:pStyle w:val="ListParagraph"/>
        <w:numPr>
          <w:ilvl w:val="0"/>
          <w:numId w:val="14"/>
        </w:numPr>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A quorum of the </w:t>
      </w:r>
      <w:r w:rsidR="007F157A" w:rsidRPr="009768EC">
        <w:rPr>
          <w:rFonts w:asciiTheme="majorHAnsi" w:eastAsia="Times New Roman" w:hAnsiTheme="majorHAnsi" w:cstheme="majorHAnsi"/>
          <w:sz w:val="19"/>
          <w:szCs w:val="19"/>
        </w:rPr>
        <w:t xml:space="preserve">Economics </w:t>
      </w:r>
      <w:r w:rsidRPr="009768EC">
        <w:rPr>
          <w:rFonts w:asciiTheme="majorHAnsi" w:eastAsia="Times New Roman" w:hAnsiTheme="majorHAnsi" w:cstheme="majorHAnsi"/>
          <w:sz w:val="19"/>
          <w:szCs w:val="19"/>
        </w:rPr>
        <w:t xml:space="preserve">Committee </w:t>
      </w:r>
      <w:r w:rsidR="007F157A" w:rsidRPr="009768EC">
        <w:rPr>
          <w:rFonts w:asciiTheme="majorHAnsi" w:eastAsia="Times New Roman" w:hAnsiTheme="majorHAnsi" w:cstheme="majorHAnsi"/>
          <w:sz w:val="19"/>
          <w:szCs w:val="19"/>
        </w:rPr>
        <w:t xml:space="preserve">shall consist of </w:t>
      </w:r>
      <w:r w:rsidRPr="009768EC">
        <w:rPr>
          <w:rFonts w:asciiTheme="majorHAnsi" w:eastAsia="Times New Roman" w:hAnsiTheme="majorHAnsi" w:cstheme="majorHAnsi"/>
          <w:sz w:val="19"/>
          <w:szCs w:val="19"/>
        </w:rPr>
        <w:t xml:space="preserve">a majority of its members. </w:t>
      </w:r>
    </w:p>
    <w:p w14:paraId="1F78C723" w14:textId="0090C864" w:rsidR="003F2DA5" w:rsidRPr="009768EC" w:rsidRDefault="008E0CAC" w:rsidP="0076025B">
      <w:pPr>
        <w:pStyle w:val="ListParagraph"/>
        <w:numPr>
          <w:ilvl w:val="0"/>
          <w:numId w:val="14"/>
        </w:numPr>
        <w:spacing w:after="240"/>
        <w:ind w:left="-450" w:right="-277"/>
        <w:jc w:val="both"/>
        <w:rPr>
          <w:rFonts w:asciiTheme="majorHAnsi" w:eastAsia="Times New Roman" w:hAnsiTheme="majorHAnsi" w:cstheme="majorHAnsi"/>
          <w:sz w:val="19"/>
          <w:szCs w:val="19"/>
        </w:rPr>
      </w:pPr>
      <w:r w:rsidRPr="009768EC">
        <w:rPr>
          <w:rFonts w:asciiTheme="majorHAnsi" w:eastAsia="Times New Roman" w:hAnsiTheme="majorHAnsi" w:cstheme="majorHAnsi"/>
          <w:sz w:val="19"/>
          <w:szCs w:val="19"/>
        </w:rPr>
        <w:t xml:space="preserve">The Committee shall meet regularly </w:t>
      </w:r>
      <w:r w:rsidR="003F2DA5" w:rsidRPr="009768EC">
        <w:rPr>
          <w:rFonts w:asciiTheme="majorHAnsi" w:eastAsia="Times New Roman" w:hAnsiTheme="majorHAnsi" w:cstheme="majorHAnsi"/>
          <w:sz w:val="19"/>
          <w:szCs w:val="19"/>
        </w:rPr>
        <w:t xml:space="preserve">six </w:t>
      </w:r>
      <w:r w:rsidRPr="009768EC">
        <w:rPr>
          <w:rFonts w:asciiTheme="majorHAnsi" w:eastAsia="Times New Roman" w:hAnsiTheme="majorHAnsi" w:cstheme="majorHAnsi"/>
          <w:sz w:val="19"/>
          <w:szCs w:val="19"/>
        </w:rPr>
        <w:t>(</w:t>
      </w:r>
      <w:r w:rsidR="003F2DA5" w:rsidRPr="009768EC">
        <w:rPr>
          <w:rFonts w:asciiTheme="majorHAnsi" w:eastAsia="Times New Roman" w:hAnsiTheme="majorHAnsi" w:cstheme="majorHAnsi"/>
          <w:sz w:val="19"/>
          <w:szCs w:val="19"/>
        </w:rPr>
        <w:t>6</w:t>
      </w:r>
      <w:r w:rsidRPr="009768EC">
        <w:rPr>
          <w:rFonts w:asciiTheme="majorHAnsi" w:eastAsia="Times New Roman" w:hAnsiTheme="majorHAnsi" w:cstheme="majorHAnsi"/>
          <w:sz w:val="19"/>
          <w:szCs w:val="19"/>
        </w:rPr>
        <w:t>) times per year</w:t>
      </w:r>
      <w:r w:rsidR="00D6218D" w:rsidRPr="009768EC">
        <w:rPr>
          <w:rFonts w:asciiTheme="majorHAnsi" w:eastAsia="Times New Roman" w:hAnsiTheme="majorHAnsi" w:cstheme="majorHAnsi"/>
          <w:sz w:val="19"/>
          <w:szCs w:val="19"/>
        </w:rPr>
        <w:t xml:space="preserve"> and on an ad hoc basis as needed</w:t>
      </w:r>
    </w:p>
    <w:tbl>
      <w:tblPr>
        <w:tblStyle w:val="TableGrid"/>
        <w:tblW w:w="0" w:type="auto"/>
        <w:tblInd w:w="-113" w:type="dxa"/>
        <w:tblLook w:val="04A0" w:firstRow="1" w:lastRow="0" w:firstColumn="1" w:lastColumn="0" w:noHBand="0" w:noVBand="1"/>
      </w:tblPr>
      <w:tblGrid>
        <w:gridCol w:w="1493"/>
        <w:gridCol w:w="1675"/>
        <w:gridCol w:w="1380"/>
        <w:gridCol w:w="1500"/>
        <w:gridCol w:w="1320"/>
        <w:gridCol w:w="1410"/>
      </w:tblGrid>
      <w:tr w:rsidR="0076025B" w14:paraId="7CFBF046" w14:textId="5FCF4063" w:rsidTr="00610DEA">
        <w:tc>
          <w:tcPr>
            <w:tcW w:w="1493" w:type="dxa"/>
          </w:tcPr>
          <w:p w14:paraId="05FE6393" w14:textId="3E575639" w:rsidR="0076025B" w:rsidRPr="004D2A21" w:rsidRDefault="0076025B" w:rsidP="0076025B">
            <w:pPr>
              <w:spacing w:line="276" w:lineRule="auto"/>
              <w:ind w:left="-450" w:right="-277"/>
              <w:jc w:val="center"/>
              <w:rPr>
                <w:rFonts w:asciiTheme="majorHAnsi" w:eastAsia="Times New Roman" w:hAnsiTheme="majorHAnsi" w:cstheme="majorHAnsi"/>
                <w:b/>
                <w:bCs/>
                <w:sz w:val="18"/>
                <w:szCs w:val="18"/>
              </w:rPr>
            </w:pPr>
            <w:r w:rsidRPr="004D2A21">
              <w:rPr>
                <w:rFonts w:asciiTheme="majorHAnsi" w:eastAsia="Times New Roman" w:hAnsiTheme="majorHAnsi" w:cstheme="majorHAnsi"/>
                <w:b/>
                <w:bCs/>
                <w:sz w:val="18"/>
                <w:szCs w:val="18"/>
              </w:rPr>
              <w:t>Mid</w:t>
            </w:r>
            <w:r w:rsidR="00610DEA">
              <w:rPr>
                <w:rFonts w:asciiTheme="majorHAnsi" w:eastAsia="Times New Roman" w:hAnsiTheme="majorHAnsi" w:cstheme="majorHAnsi"/>
                <w:b/>
                <w:bCs/>
                <w:sz w:val="18"/>
                <w:szCs w:val="18"/>
              </w:rPr>
              <w:t>-</w:t>
            </w:r>
            <w:r w:rsidRPr="004D2A21">
              <w:rPr>
                <w:rFonts w:asciiTheme="majorHAnsi" w:eastAsia="Times New Roman" w:hAnsiTheme="majorHAnsi" w:cstheme="majorHAnsi"/>
                <w:b/>
                <w:bCs/>
                <w:sz w:val="18"/>
                <w:szCs w:val="18"/>
              </w:rPr>
              <w:t>August</w:t>
            </w:r>
          </w:p>
        </w:tc>
        <w:tc>
          <w:tcPr>
            <w:tcW w:w="1675" w:type="dxa"/>
          </w:tcPr>
          <w:p w14:paraId="0B3EA2E5" w14:textId="1049FDA8" w:rsidR="0076025B" w:rsidRPr="004D2A21" w:rsidRDefault="0076025B" w:rsidP="0076025B">
            <w:pPr>
              <w:spacing w:line="276" w:lineRule="auto"/>
              <w:ind w:left="-450" w:right="-277"/>
              <w:jc w:val="center"/>
              <w:rPr>
                <w:rFonts w:asciiTheme="majorHAnsi" w:eastAsia="Times New Roman" w:hAnsiTheme="majorHAnsi" w:cstheme="majorHAnsi"/>
                <w:b/>
                <w:bCs/>
                <w:sz w:val="18"/>
                <w:szCs w:val="18"/>
              </w:rPr>
            </w:pPr>
            <w:r w:rsidRPr="004D2A21">
              <w:rPr>
                <w:rFonts w:asciiTheme="majorHAnsi" w:eastAsia="Times New Roman" w:hAnsiTheme="majorHAnsi" w:cstheme="majorHAnsi"/>
                <w:b/>
                <w:bCs/>
                <w:sz w:val="18"/>
                <w:szCs w:val="18"/>
              </w:rPr>
              <w:t>Mid</w:t>
            </w:r>
            <w:r w:rsidR="00610DEA">
              <w:rPr>
                <w:rFonts w:asciiTheme="majorHAnsi" w:eastAsia="Times New Roman" w:hAnsiTheme="majorHAnsi" w:cstheme="majorHAnsi"/>
                <w:b/>
                <w:bCs/>
                <w:sz w:val="18"/>
                <w:szCs w:val="18"/>
              </w:rPr>
              <w:t>-</w:t>
            </w:r>
            <w:r w:rsidRPr="004D2A21">
              <w:rPr>
                <w:rFonts w:asciiTheme="majorHAnsi" w:eastAsia="Times New Roman" w:hAnsiTheme="majorHAnsi" w:cstheme="majorHAnsi"/>
                <w:b/>
                <w:bCs/>
                <w:sz w:val="18"/>
                <w:szCs w:val="18"/>
              </w:rPr>
              <w:t>October</w:t>
            </w:r>
          </w:p>
        </w:tc>
        <w:tc>
          <w:tcPr>
            <w:tcW w:w="1380" w:type="dxa"/>
          </w:tcPr>
          <w:p w14:paraId="66EDA1C3" w14:textId="5374B362" w:rsidR="0076025B" w:rsidRPr="004D2A21" w:rsidRDefault="0076025B" w:rsidP="0076025B">
            <w:pPr>
              <w:spacing w:line="276" w:lineRule="auto"/>
              <w:ind w:left="-450" w:right="-277"/>
              <w:jc w:val="center"/>
              <w:rPr>
                <w:rFonts w:asciiTheme="majorHAnsi" w:eastAsia="Times New Roman" w:hAnsiTheme="majorHAnsi" w:cstheme="majorHAnsi"/>
                <w:b/>
                <w:bCs/>
                <w:sz w:val="18"/>
                <w:szCs w:val="18"/>
              </w:rPr>
            </w:pPr>
            <w:r w:rsidRPr="004D2A21">
              <w:rPr>
                <w:rFonts w:asciiTheme="majorHAnsi" w:eastAsia="Times New Roman" w:hAnsiTheme="majorHAnsi" w:cstheme="majorHAnsi"/>
                <w:b/>
                <w:bCs/>
                <w:sz w:val="18"/>
                <w:szCs w:val="18"/>
              </w:rPr>
              <w:t>Mid</w:t>
            </w:r>
            <w:r w:rsidR="00610DEA">
              <w:rPr>
                <w:rFonts w:asciiTheme="majorHAnsi" w:eastAsia="Times New Roman" w:hAnsiTheme="majorHAnsi" w:cstheme="majorHAnsi"/>
                <w:b/>
                <w:bCs/>
                <w:sz w:val="18"/>
                <w:szCs w:val="18"/>
              </w:rPr>
              <w:t>-</w:t>
            </w:r>
            <w:r w:rsidRPr="004D2A21">
              <w:rPr>
                <w:rFonts w:asciiTheme="majorHAnsi" w:eastAsia="Times New Roman" w:hAnsiTheme="majorHAnsi" w:cstheme="majorHAnsi"/>
                <w:b/>
                <w:bCs/>
                <w:sz w:val="18"/>
                <w:szCs w:val="18"/>
              </w:rPr>
              <w:t>December</w:t>
            </w:r>
          </w:p>
        </w:tc>
        <w:tc>
          <w:tcPr>
            <w:tcW w:w="1500" w:type="dxa"/>
          </w:tcPr>
          <w:p w14:paraId="7C159F1C" w14:textId="1AA34288" w:rsidR="0076025B" w:rsidRPr="004D2A21" w:rsidRDefault="0076025B" w:rsidP="0076025B">
            <w:pPr>
              <w:spacing w:line="276" w:lineRule="auto"/>
              <w:ind w:left="-450" w:right="-277"/>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Mid-February</w:t>
            </w:r>
          </w:p>
        </w:tc>
        <w:tc>
          <w:tcPr>
            <w:tcW w:w="1320" w:type="dxa"/>
          </w:tcPr>
          <w:p w14:paraId="1FD2097A" w14:textId="0C7516A5" w:rsidR="0076025B" w:rsidRPr="004D2A21" w:rsidRDefault="0076025B" w:rsidP="0076025B">
            <w:pPr>
              <w:spacing w:line="276" w:lineRule="auto"/>
              <w:ind w:left="-450" w:right="-277"/>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Mid-April</w:t>
            </w:r>
          </w:p>
        </w:tc>
        <w:tc>
          <w:tcPr>
            <w:tcW w:w="1410" w:type="dxa"/>
          </w:tcPr>
          <w:p w14:paraId="2CE61006" w14:textId="1378E274" w:rsidR="0076025B" w:rsidRDefault="00610DEA" w:rsidP="0076025B">
            <w:pPr>
              <w:spacing w:line="276" w:lineRule="auto"/>
              <w:ind w:left="-450" w:right="-277"/>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Mid-June</w:t>
            </w:r>
          </w:p>
        </w:tc>
      </w:tr>
    </w:tbl>
    <w:p w14:paraId="75A9709C" w14:textId="54BD0A06" w:rsidR="00EE377B" w:rsidRPr="00EE377B" w:rsidRDefault="008E0CAC" w:rsidP="00316839">
      <w:pPr>
        <w:pStyle w:val="ListParagraph"/>
        <w:numPr>
          <w:ilvl w:val="0"/>
          <w:numId w:val="14"/>
        </w:numPr>
        <w:spacing w:before="240" w:line="276" w:lineRule="auto"/>
        <w:ind w:left="-810" w:right="-277"/>
        <w:jc w:val="both"/>
        <w:rPr>
          <w:rFonts w:asciiTheme="majorHAnsi" w:hAnsiTheme="majorHAnsi" w:cstheme="majorHAnsi"/>
          <w:b/>
          <w:bCs/>
          <w:i/>
          <w:iCs/>
          <w:sz w:val="14"/>
          <w:szCs w:val="14"/>
        </w:rPr>
      </w:pPr>
      <w:bookmarkStart w:id="3" w:name="_Hlk42196887"/>
      <w:r w:rsidRPr="00EE377B">
        <w:rPr>
          <w:rFonts w:asciiTheme="majorHAnsi" w:eastAsia="Times New Roman" w:hAnsiTheme="majorHAnsi" w:cstheme="majorHAnsi"/>
          <w:sz w:val="19"/>
          <w:szCs w:val="19"/>
        </w:rPr>
        <w:t xml:space="preserve">Meetings may be conducted in-person, electronically or by teleconference at the discretion of the </w:t>
      </w:r>
      <w:r w:rsidR="0059775E" w:rsidRPr="00EE377B">
        <w:rPr>
          <w:rFonts w:asciiTheme="majorHAnsi" w:eastAsia="Times New Roman" w:hAnsiTheme="majorHAnsi" w:cstheme="majorHAnsi"/>
          <w:sz w:val="19"/>
          <w:szCs w:val="19"/>
        </w:rPr>
        <w:t xml:space="preserve">Economics Committee </w:t>
      </w:r>
      <w:r w:rsidR="00EC6BF2" w:rsidRPr="00EE377B">
        <w:rPr>
          <w:rFonts w:asciiTheme="majorHAnsi" w:eastAsia="Times New Roman" w:hAnsiTheme="majorHAnsi" w:cstheme="majorHAnsi"/>
          <w:sz w:val="19"/>
          <w:szCs w:val="19"/>
        </w:rPr>
        <w:t>co-</w:t>
      </w:r>
      <w:r w:rsidRPr="00EE377B">
        <w:rPr>
          <w:rFonts w:asciiTheme="majorHAnsi" w:eastAsia="Times New Roman" w:hAnsiTheme="majorHAnsi" w:cstheme="majorHAnsi"/>
          <w:sz w:val="19"/>
          <w:szCs w:val="19"/>
        </w:rPr>
        <w:t>chair</w:t>
      </w:r>
      <w:r w:rsidR="00EC6BF2" w:rsidRPr="00EE377B">
        <w:rPr>
          <w:rFonts w:asciiTheme="majorHAnsi" w:eastAsia="Times New Roman" w:hAnsiTheme="majorHAnsi" w:cstheme="majorHAnsi"/>
          <w:sz w:val="19"/>
          <w:szCs w:val="19"/>
        </w:rPr>
        <w:t>s</w:t>
      </w:r>
      <w:r w:rsidRPr="00EE377B">
        <w:rPr>
          <w:rFonts w:asciiTheme="majorHAnsi" w:eastAsia="Times New Roman" w:hAnsiTheme="majorHAnsi" w:cstheme="majorHAnsi"/>
          <w:sz w:val="19"/>
          <w:szCs w:val="19"/>
        </w:rPr>
        <w:t>.</w:t>
      </w:r>
      <w:bookmarkEnd w:id="1"/>
      <w:bookmarkEnd w:id="2"/>
      <w:bookmarkEnd w:id="3"/>
      <w:r w:rsidR="00EE377B" w:rsidRPr="00EE377B">
        <w:rPr>
          <w:rFonts w:asciiTheme="majorHAnsi" w:eastAsia="Times New Roman" w:hAnsiTheme="majorHAnsi" w:cstheme="majorHAnsi"/>
          <w:sz w:val="19"/>
          <w:szCs w:val="19"/>
        </w:rPr>
        <w:tab/>
      </w:r>
      <w:r w:rsidR="00EE377B" w:rsidRPr="00EE377B">
        <w:rPr>
          <w:rFonts w:asciiTheme="majorHAnsi" w:eastAsia="Times New Roman" w:hAnsiTheme="majorHAnsi" w:cstheme="majorHAnsi"/>
          <w:sz w:val="19"/>
          <w:szCs w:val="19"/>
        </w:rPr>
        <w:tab/>
      </w:r>
      <w:r w:rsidR="00EE377B" w:rsidRPr="00EE377B">
        <w:rPr>
          <w:rFonts w:asciiTheme="majorHAnsi" w:eastAsia="Times New Roman" w:hAnsiTheme="majorHAnsi" w:cstheme="majorHAnsi"/>
          <w:sz w:val="19"/>
          <w:szCs w:val="19"/>
        </w:rPr>
        <w:tab/>
      </w:r>
      <w:r w:rsidR="00EE377B">
        <w:rPr>
          <w:rFonts w:asciiTheme="majorHAnsi" w:eastAsia="Times New Roman" w:hAnsiTheme="majorHAnsi" w:cstheme="majorHAnsi"/>
          <w:sz w:val="19"/>
          <w:szCs w:val="19"/>
        </w:rPr>
        <w:tab/>
      </w:r>
      <w:bookmarkStart w:id="4" w:name="_GoBack"/>
      <w:bookmarkEnd w:id="4"/>
      <w:r w:rsidR="00EE377B" w:rsidRPr="00EE377B">
        <w:rPr>
          <w:rFonts w:asciiTheme="majorHAnsi" w:eastAsia="Times New Roman" w:hAnsiTheme="majorHAnsi" w:cstheme="majorHAnsi"/>
          <w:sz w:val="19"/>
          <w:szCs w:val="19"/>
        </w:rPr>
        <w:tab/>
      </w:r>
      <w:r w:rsidR="00EE377B" w:rsidRPr="00EE377B">
        <w:rPr>
          <w:rFonts w:asciiTheme="majorHAnsi" w:eastAsia="Times New Roman" w:hAnsiTheme="majorHAnsi" w:cstheme="majorHAnsi"/>
          <w:sz w:val="19"/>
          <w:szCs w:val="19"/>
        </w:rPr>
        <w:tab/>
      </w:r>
      <w:r w:rsidR="00EE377B">
        <w:rPr>
          <w:rFonts w:asciiTheme="majorHAnsi" w:eastAsia="Times New Roman" w:hAnsiTheme="majorHAnsi" w:cstheme="majorHAnsi"/>
          <w:sz w:val="19"/>
          <w:szCs w:val="19"/>
        </w:rPr>
        <w:t xml:space="preserve">    </w:t>
      </w:r>
      <w:r w:rsidR="00EE377B" w:rsidRPr="00EE377B">
        <w:rPr>
          <w:rFonts w:asciiTheme="majorHAnsi" w:eastAsia="Times New Roman" w:hAnsiTheme="majorHAnsi" w:cstheme="majorHAnsi"/>
          <w:b/>
          <w:bCs/>
          <w:i/>
          <w:iCs/>
          <w:sz w:val="16"/>
          <w:szCs w:val="16"/>
        </w:rPr>
        <w:t>Approved by GNC: September 1, 2020/ Approved by Board: September 17, 2020</w:t>
      </w:r>
    </w:p>
    <w:sectPr w:rsidR="00EE377B" w:rsidRPr="00EE377B" w:rsidSect="00EE377B">
      <w:headerReference w:type="default" r:id="rId11"/>
      <w:pgSz w:w="12240" w:h="15840" w:code="1"/>
      <w:pgMar w:top="2160" w:right="1440" w:bottom="1440" w:left="1987" w:header="0" w:footer="10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989F" w16cex:dateUtc="2020-07-22T14:51:00Z"/>
  <w16cex:commentExtensible w16cex:durableId="22C92E3F" w16cex:dateUtc="2020-07-27T14:43:00Z"/>
  <w16cex:commentExtensible w16cex:durableId="22C298E6" w16cex:dateUtc="2020-07-22T14:52:00Z"/>
  <w16cex:commentExtensible w16cex:durableId="22C92E2D" w16cex:dateUtc="2020-07-27T14:42:00Z"/>
  <w16cex:commentExtensible w16cex:durableId="22C29962" w16cex:dateUtc="2020-07-22T14:54:00Z"/>
  <w16cex:commentExtensible w16cex:durableId="22C92E61" w16cex:dateUtc="2020-07-27T14:43:00Z"/>
  <w16cex:commentExtensible w16cex:durableId="22C2991D" w16cex:dateUtc="2020-07-22T14:53:00Z"/>
  <w16cex:commentExtensible w16cex:durableId="22C92E6A" w16cex:dateUtc="2020-07-27T14:43:00Z"/>
  <w16cex:commentExtensible w16cex:durableId="22C2997C" w16cex:dateUtc="2020-07-22T14:54:00Z"/>
  <w16cex:commentExtensible w16cex:durableId="22C92FEC" w16cex:dateUtc="2020-07-27T14:50:00Z"/>
  <w16cex:commentExtensible w16cex:durableId="22C299DB" w16cex:dateUtc="2020-07-22T14:56:00Z"/>
  <w16cex:commentExtensible w16cex:durableId="22C9301D" w16cex:dateUtc="2020-07-27T14:51:00Z"/>
  <w16cex:commentExtensible w16cex:durableId="22C29A31" w16cex:dateUtc="2020-07-22T14:57:00Z"/>
  <w16cex:commentExtensible w16cex:durableId="22C93112" w16cex:dateUtc="2020-07-27T14:55:00Z"/>
  <w16cex:commentExtensible w16cex:durableId="22C29AB0" w16cex:dateUtc="2020-07-22T15:00:00Z"/>
  <w16cex:commentExtensible w16cex:durableId="22C93166" w16cex:dateUtc="2020-07-27T14: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A60FF" w14:textId="77777777" w:rsidR="00852FAB" w:rsidRDefault="00852FAB" w:rsidP="005C6366">
      <w:r>
        <w:separator/>
      </w:r>
    </w:p>
  </w:endnote>
  <w:endnote w:type="continuationSeparator" w:id="0">
    <w:p w14:paraId="321A1B44" w14:textId="77777777" w:rsidR="00852FAB" w:rsidRDefault="00852FAB" w:rsidP="005C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A5687" w14:textId="77777777" w:rsidR="00852FAB" w:rsidRDefault="00852FAB" w:rsidP="005C6366">
      <w:r>
        <w:separator/>
      </w:r>
    </w:p>
  </w:footnote>
  <w:footnote w:type="continuationSeparator" w:id="0">
    <w:p w14:paraId="2290F446" w14:textId="77777777" w:rsidR="00852FAB" w:rsidRDefault="00852FAB" w:rsidP="005C6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0ADE" w14:textId="21A66893" w:rsidR="004941EC" w:rsidRDefault="004941EC">
    <w:pPr>
      <w:pStyle w:val="Header"/>
    </w:pPr>
    <w:r>
      <w:rPr>
        <w:noProof/>
        <w:lang w:val="en-GB" w:eastAsia="en-GB"/>
      </w:rPr>
      <w:drawing>
        <wp:anchor distT="0" distB="0" distL="114300" distR="114300" simplePos="0" relativeHeight="251657216" behindDoc="1" locked="0" layoutInCell="1" allowOverlap="1" wp14:anchorId="6462AA1C" wp14:editId="6297CB65">
          <wp:simplePos x="0" y="0"/>
          <wp:positionH relativeFrom="column">
            <wp:posOffset>-1257301</wp:posOffset>
          </wp:positionH>
          <wp:positionV relativeFrom="paragraph">
            <wp:posOffset>0</wp:posOffset>
          </wp:positionV>
          <wp:extent cx="7778251" cy="10058400"/>
          <wp:effectExtent l="0" t="0" r="0" b="0"/>
          <wp:wrapNone/>
          <wp:docPr id="11" name="Picture 11" descr="Macintosh HD:Users:OPA-MAC-02:Documents:Design:2013:OPA re-brand:Letterhead &amp; Envelope:Letterhead:OPA_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PA-MAC-02:Documents:Design:2013:OPA re-brand:Letterhead &amp; Envelope:Letterhead:OPA_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251"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B68"/>
    <w:multiLevelType w:val="hybridMultilevel"/>
    <w:tmpl w:val="36B64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F341C"/>
    <w:multiLevelType w:val="hybridMultilevel"/>
    <w:tmpl w:val="A050B98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1B7150"/>
    <w:multiLevelType w:val="hybridMultilevel"/>
    <w:tmpl w:val="B0DC6F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4D7DA4"/>
    <w:multiLevelType w:val="hybridMultilevel"/>
    <w:tmpl w:val="91BC57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4B406F"/>
    <w:multiLevelType w:val="multilevel"/>
    <w:tmpl w:val="6D08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51F26"/>
    <w:multiLevelType w:val="hybridMultilevel"/>
    <w:tmpl w:val="FF144D64"/>
    <w:lvl w:ilvl="0" w:tplc="7BC82EE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F574ACA"/>
    <w:multiLevelType w:val="hybridMultilevel"/>
    <w:tmpl w:val="BB22B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B48C4"/>
    <w:multiLevelType w:val="hybridMultilevel"/>
    <w:tmpl w:val="8182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63E9E"/>
    <w:multiLevelType w:val="hybridMultilevel"/>
    <w:tmpl w:val="6F4C1062"/>
    <w:lvl w:ilvl="0" w:tplc="09D8112E">
      <w:start w:val="4"/>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9FF36AD"/>
    <w:multiLevelType w:val="hybridMultilevel"/>
    <w:tmpl w:val="9C1C6494"/>
    <w:lvl w:ilvl="0" w:tplc="9028CCAC">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9A7B3D"/>
    <w:multiLevelType w:val="hybridMultilevel"/>
    <w:tmpl w:val="131C7B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1224272"/>
    <w:multiLevelType w:val="hybridMultilevel"/>
    <w:tmpl w:val="D00016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F4B1511"/>
    <w:multiLevelType w:val="hybridMultilevel"/>
    <w:tmpl w:val="718EE778"/>
    <w:lvl w:ilvl="0" w:tplc="0532995C">
      <w:start w:val="1"/>
      <w:numFmt w:val="lowerRoman"/>
      <w:lvlText w:val="%1."/>
      <w:lvlJc w:val="right"/>
      <w:pPr>
        <w:ind w:left="7830" w:hanging="360"/>
      </w:p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13" w15:restartNumberingAfterBreak="0">
    <w:nsid w:val="65524C8B"/>
    <w:multiLevelType w:val="hybridMultilevel"/>
    <w:tmpl w:val="567E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B5495"/>
    <w:multiLevelType w:val="hybridMultilevel"/>
    <w:tmpl w:val="51AEEE14"/>
    <w:lvl w:ilvl="0" w:tplc="9028CC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AFD0EDF"/>
    <w:multiLevelType w:val="hybridMultilevel"/>
    <w:tmpl w:val="847E4D0C"/>
    <w:lvl w:ilvl="0" w:tplc="9028CCA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0"/>
  </w:num>
  <w:num w:numId="2">
    <w:abstractNumId w:val="5"/>
  </w:num>
  <w:num w:numId="3">
    <w:abstractNumId w:val="13"/>
  </w:num>
  <w:num w:numId="4">
    <w:abstractNumId w:val="7"/>
  </w:num>
  <w:num w:numId="5">
    <w:abstractNumId w:val="6"/>
  </w:num>
  <w:num w:numId="6">
    <w:abstractNumId w:val="4"/>
  </w:num>
  <w:num w:numId="7">
    <w:abstractNumId w:val="12"/>
  </w:num>
  <w:num w:numId="8">
    <w:abstractNumId w:val="9"/>
  </w:num>
  <w:num w:numId="9">
    <w:abstractNumId w:val="15"/>
  </w:num>
  <w:num w:numId="10">
    <w:abstractNumId w:val="14"/>
  </w:num>
  <w:num w:numId="11">
    <w:abstractNumId w:val="2"/>
  </w:num>
  <w:num w:numId="12">
    <w:abstractNumId w:val="3"/>
  </w:num>
  <w:num w:numId="13">
    <w:abstractNumId w:val="8"/>
  </w:num>
  <w:num w:numId="14">
    <w:abstractNumId w:val="11"/>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W0tDS0NDcwNjY2MDJU0lEKTi0uzszPAykwrAUAcCKvnCwAAAA="/>
  </w:docVars>
  <w:rsids>
    <w:rsidRoot w:val="005C6366"/>
    <w:rsid w:val="00041DC3"/>
    <w:rsid w:val="0005563E"/>
    <w:rsid w:val="00062EBA"/>
    <w:rsid w:val="00074BA2"/>
    <w:rsid w:val="000E36BB"/>
    <w:rsid w:val="00104D37"/>
    <w:rsid w:val="0013582F"/>
    <w:rsid w:val="00143CE8"/>
    <w:rsid w:val="00155064"/>
    <w:rsid w:val="001A6B60"/>
    <w:rsid w:val="001A7F49"/>
    <w:rsid w:val="001C3D0B"/>
    <w:rsid w:val="00212F15"/>
    <w:rsid w:val="002209C8"/>
    <w:rsid w:val="00221F37"/>
    <w:rsid w:val="0023274B"/>
    <w:rsid w:val="00272E20"/>
    <w:rsid w:val="002B0AC1"/>
    <w:rsid w:val="002D2EF3"/>
    <w:rsid w:val="002E520E"/>
    <w:rsid w:val="003065E7"/>
    <w:rsid w:val="00385E16"/>
    <w:rsid w:val="003F2DA5"/>
    <w:rsid w:val="00410A6E"/>
    <w:rsid w:val="00427A81"/>
    <w:rsid w:val="00437849"/>
    <w:rsid w:val="00474071"/>
    <w:rsid w:val="004941EC"/>
    <w:rsid w:val="004D2A21"/>
    <w:rsid w:val="005218DD"/>
    <w:rsid w:val="00545C95"/>
    <w:rsid w:val="00560477"/>
    <w:rsid w:val="00564704"/>
    <w:rsid w:val="00574A1A"/>
    <w:rsid w:val="005837C0"/>
    <w:rsid w:val="005932B6"/>
    <w:rsid w:val="0059775E"/>
    <w:rsid w:val="005C6366"/>
    <w:rsid w:val="00610DEA"/>
    <w:rsid w:val="00614447"/>
    <w:rsid w:val="006446D7"/>
    <w:rsid w:val="00683C5A"/>
    <w:rsid w:val="006B37ED"/>
    <w:rsid w:val="006B5F87"/>
    <w:rsid w:val="006D4ACB"/>
    <w:rsid w:val="006D6A7B"/>
    <w:rsid w:val="00704EBA"/>
    <w:rsid w:val="0071298C"/>
    <w:rsid w:val="007324E4"/>
    <w:rsid w:val="00741BF3"/>
    <w:rsid w:val="0076025B"/>
    <w:rsid w:val="00763C94"/>
    <w:rsid w:val="00794199"/>
    <w:rsid w:val="007B3293"/>
    <w:rsid w:val="007C085F"/>
    <w:rsid w:val="007C7A1D"/>
    <w:rsid w:val="007D717D"/>
    <w:rsid w:val="007F157A"/>
    <w:rsid w:val="0085051C"/>
    <w:rsid w:val="00852FAB"/>
    <w:rsid w:val="008635C9"/>
    <w:rsid w:val="00877CEF"/>
    <w:rsid w:val="008A5E21"/>
    <w:rsid w:val="008B51A8"/>
    <w:rsid w:val="008B7DAF"/>
    <w:rsid w:val="008D2282"/>
    <w:rsid w:val="008E0CAC"/>
    <w:rsid w:val="00917E28"/>
    <w:rsid w:val="00934F5A"/>
    <w:rsid w:val="009768EC"/>
    <w:rsid w:val="009C5CEA"/>
    <w:rsid w:val="009D738D"/>
    <w:rsid w:val="009E01FD"/>
    <w:rsid w:val="00B1603E"/>
    <w:rsid w:val="00B2506D"/>
    <w:rsid w:val="00B66768"/>
    <w:rsid w:val="00BD5348"/>
    <w:rsid w:val="00C36CF2"/>
    <w:rsid w:val="00C826D3"/>
    <w:rsid w:val="00CD3B1C"/>
    <w:rsid w:val="00D23A8F"/>
    <w:rsid w:val="00D6218D"/>
    <w:rsid w:val="00D6793E"/>
    <w:rsid w:val="00D71601"/>
    <w:rsid w:val="00D913DF"/>
    <w:rsid w:val="00DA3C28"/>
    <w:rsid w:val="00DA4E84"/>
    <w:rsid w:val="00DC7A38"/>
    <w:rsid w:val="00DE19EF"/>
    <w:rsid w:val="00DE23E4"/>
    <w:rsid w:val="00E03D7C"/>
    <w:rsid w:val="00E14179"/>
    <w:rsid w:val="00E3055E"/>
    <w:rsid w:val="00E5057E"/>
    <w:rsid w:val="00EC6BF2"/>
    <w:rsid w:val="00EE377B"/>
    <w:rsid w:val="00F35B4C"/>
    <w:rsid w:val="00F45D33"/>
    <w:rsid w:val="00F60762"/>
    <w:rsid w:val="00F67A82"/>
    <w:rsid w:val="00F70DB3"/>
    <w:rsid w:val="00FA2655"/>
    <w:rsid w:val="00FC585D"/>
    <w:rsid w:val="00FD1E1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FDB515E"/>
  <w15:docId w15:val="{E82C7FE8-C3B1-4D62-8B67-C409E44F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366"/>
    <w:pPr>
      <w:tabs>
        <w:tab w:val="center" w:pos="4320"/>
        <w:tab w:val="right" w:pos="8640"/>
      </w:tabs>
    </w:pPr>
  </w:style>
  <w:style w:type="character" w:customStyle="1" w:styleId="HeaderChar">
    <w:name w:val="Header Char"/>
    <w:basedOn w:val="DefaultParagraphFont"/>
    <w:link w:val="Header"/>
    <w:uiPriority w:val="99"/>
    <w:rsid w:val="005C6366"/>
  </w:style>
  <w:style w:type="paragraph" w:styleId="Footer">
    <w:name w:val="footer"/>
    <w:basedOn w:val="Normal"/>
    <w:link w:val="FooterChar"/>
    <w:uiPriority w:val="99"/>
    <w:unhideWhenUsed/>
    <w:rsid w:val="005C6366"/>
    <w:pPr>
      <w:tabs>
        <w:tab w:val="center" w:pos="4320"/>
        <w:tab w:val="right" w:pos="8640"/>
      </w:tabs>
    </w:pPr>
  </w:style>
  <w:style w:type="character" w:customStyle="1" w:styleId="FooterChar">
    <w:name w:val="Footer Char"/>
    <w:basedOn w:val="DefaultParagraphFont"/>
    <w:link w:val="Footer"/>
    <w:uiPriority w:val="99"/>
    <w:rsid w:val="005C6366"/>
  </w:style>
  <w:style w:type="paragraph" w:styleId="BalloonText">
    <w:name w:val="Balloon Text"/>
    <w:basedOn w:val="Normal"/>
    <w:link w:val="BalloonTextChar"/>
    <w:uiPriority w:val="99"/>
    <w:semiHidden/>
    <w:unhideWhenUsed/>
    <w:rsid w:val="005C63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6366"/>
    <w:rPr>
      <w:rFonts w:ascii="Lucida Grande" w:hAnsi="Lucida Grande" w:cs="Lucida Grande"/>
      <w:sz w:val="18"/>
      <w:szCs w:val="18"/>
    </w:rPr>
  </w:style>
  <w:style w:type="table" w:styleId="TableGrid">
    <w:name w:val="Table Grid"/>
    <w:basedOn w:val="TableNormal"/>
    <w:uiPriority w:val="59"/>
    <w:rsid w:val="00DE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E19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2D2EF3"/>
    <w:pPr>
      <w:ind w:left="720"/>
      <w:contextualSpacing/>
    </w:pPr>
  </w:style>
  <w:style w:type="paragraph" w:customStyle="1" w:styleId="FootnoteText1">
    <w:name w:val="Footnote Text1"/>
    <w:basedOn w:val="Normal"/>
    <w:next w:val="FootnoteText"/>
    <w:link w:val="FootnoteTextChar"/>
    <w:uiPriority w:val="99"/>
    <w:semiHidden/>
    <w:unhideWhenUsed/>
    <w:rsid w:val="008E0CAC"/>
    <w:rPr>
      <w:sz w:val="20"/>
      <w:szCs w:val="20"/>
    </w:rPr>
  </w:style>
  <w:style w:type="character" w:customStyle="1" w:styleId="FootnoteTextChar">
    <w:name w:val="Footnote Text Char"/>
    <w:basedOn w:val="DefaultParagraphFont"/>
    <w:link w:val="FootnoteText1"/>
    <w:uiPriority w:val="99"/>
    <w:semiHidden/>
    <w:rsid w:val="008E0CAC"/>
    <w:rPr>
      <w:sz w:val="20"/>
      <w:szCs w:val="20"/>
    </w:rPr>
  </w:style>
  <w:style w:type="character" w:styleId="FootnoteReference">
    <w:name w:val="footnote reference"/>
    <w:basedOn w:val="DefaultParagraphFont"/>
    <w:uiPriority w:val="99"/>
    <w:semiHidden/>
    <w:unhideWhenUsed/>
    <w:rsid w:val="008E0CAC"/>
    <w:rPr>
      <w:vertAlign w:val="superscript"/>
    </w:rPr>
  </w:style>
  <w:style w:type="character" w:styleId="CommentReference">
    <w:name w:val="annotation reference"/>
    <w:basedOn w:val="DefaultParagraphFont"/>
    <w:uiPriority w:val="99"/>
    <w:semiHidden/>
    <w:unhideWhenUsed/>
    <w:rsid w:val="008E0CAC"/>
    <w:rPr>
      <w:sz w:val="16"/>
      <w:szCs w:val="16"/>
    </w:rPr>
  </w:style>
  <w:style w:type="paragraph" w:customStyle="1" w:styleId="CommentText1">
    <w:name w:val="Comment Text1"/>
    <w:basedOn w:val="Normal"/>
    <w:next w:val="CommentText"/>
    <w:link w:val="CommentTextChar"/>
    <w:uiPriority w:val="99"/>
    <w:semiHidden/>
    <w:unhideWhenUsed/>
    <w:rsid w:val="008E0CAC"/>
    <w:pPr>
      <w:spacing w:after="200"/>
    </w:pPr>
    <w:rPr>
      <w:sz w:val="20"/>
      <w:szCs w:val="20"/>
    </w:rPr>
  </w:style>
  <w:style w:type="character" w:customStyle="1" w:styleId="CommentTextChar">
    <w:name w:val="Comment Text Char"/>
    <w:basedOn w:val="DefaultParagraphFont"/>
    <w:link w:val="CommentText1"/>
    <w:uiPriority w:val="99"/>
    <w:semiHidden/>
    <w:rsid w:val="008E0CAC"/>
    <w:rPr>
      <w:sz w:val="20"/>
      <w:szCs w:val="20"/>
    </w:rPr>
  </w:style>
  <w:style w:type="paragraph" w:styleId="FootnoteText">
    <w:name w:val="footnote text"/>
    <w:basedOn w:val="Normal"/>
    <w:link w:val="FootnoteTextChar1"/>
    <w:uiPriority w:val="99"/>
    <w:semiHidden/>
    <w:unhideWhenUsed/>
    <w:rsid w:val="008E0CAC"/>
    <w:rPr>
      <w:sz w:val="20"/>
      <w:szCs w:val="20"/>
    </w:rPr>
  </w:style>
  <w:style w:type="character" w:customStyle="1" w:styleId="FootnoteTextChar1">
    <w:name w:val="Footnote Text Char1"/>
    <w:basedOn w:val="DefaultParagraphFont"/>
    <w:link w:val="FootnoteText"/>
    <w:uiPriority w:val="99"/>
    <w:semiHidden/>
    <w:rsid w:val="008E0CAC"/>
    <w:rPr>
      <w:sz w:val="20"/>
      <w:szCs w:val="20"/>
    </w:rPr>
  </w:style>
  <w:style w:type="paragraph" w:styleId="CommentText">
    <w:name w:val="annotation text"/>
    <w:basedOn w:val="Normal"/>
    <w:link w:val="CommentTextChar1"/>
    <w:uiPriority w:val="99"/>
    <w:semiHidden/>
    <w:unhideWhenUsed/>
    <w:rsid w:val="008E0CAC"/>
    <w:rPr>
      <w:sz w:val="20"/>
      <w:szCs w:val="20"/>
    </w:rPr>
  </w:style>
  <w:style w:type="character" w:customStyle="1" w:styleId="CommentTextChar1">
    <w:name w:val="Comment Text Char1"/>
    <w:basedOn w:val="DefaultParagraphFont"/>
    <w:link w:val="CommentText"/>
    <w:uiPriority w:val="99"/>
    <w:semiHidden/>
    <w:rsid w:val="008E0CAC"/>
    <w:rPr>
      <w:sz w:val="20"/>
      <w:szCs w:val="20"/>
    </w:rPr>
  </w:style>
  <w:style w:type="paragraph" w:styleId="CommentSubject">
    <w:name w:val="annotation subject"/>
    <w:basedOn w:val="CommentText"/>
    <w:next w:val="CommentText"/>
    <w:link w:val="CommentSubjectChar"/>
    <w:uiPriority w:val="99"/>
    <w:semiHidden/>
    <w:unhideWhenUsed/>
    <w:rsid w:val="0013582F"/>
    <w:rPr>
      <w:b/>
      <w:bCs/>
    </w:rPr>
  </w:style>
  <w:style w:type="character" w:customStyle="1" w:styleId="CommentSubjectChar">
    <w:name w:val="Comment Subject Char"/>
    <w:basedOn w:val="CommentTextChar1"/>
    <w:link w:val="CommentSubject"/>
    <w:uiPriority w:val="99"/>
    <w:semiHidden/>
    <w:rsid w:val="0013582F"/>
    <w:rPr>
      <w:b/>
      <w:bCs/>
      <w:sz w:val="20"/>
      <w:szCs w:val="20"/>
    </w:rPr>
  </w:style>
  <w:style w:type="paragraph" w:styleId="Revision">
    <w:name w:val="Revision"/>
    <w:hidden/>
    <w:uiPriority w:val="99"/>
    <w:semiHidden/>
    <w:rsid w:val="007C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9564">
      <w:bodyDiv w:val="1"/>
      <w:marLeft w:val="0"/>
      <w:marRight w:val="0"/>
      <w:marTop w:val="0"/>
      <w:marBottom w:val="0"/>
      <w:divBdr>
        <w:top w:val="none" w:sz="0" w:space="0" w:color="auto"/>
        <w:left w:val="none" w:sz="0" w:space="0" w:color="auto"/>
        <w:bottom w:val="none" w:sz="0" w:space="0" w:color="auto"/>
        <w:right w:val="none" w:sz="0" w:space="0" w:color="auto"/>
      </w:divBdr>
    </w:div>
    <w:div w:id="429664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863D1C92E904AB31D541DD65C756E" ma:contentTypeVersion="4" ma:contentTypeDescription="Create a new document." ma:contentTypeScope="" ma:versionID="a5ac19d165816abae71eac91119c95db">
  <xsd:schema xmlns:xsd="http://www.w3.org/2001/XMLSchema" xmlns:xs="http://www.w3.org/2001/XMLSchema" xmlns:p="http://schemas.microsoft.com/office/2006/metadata/properties" xmlns:ns3="edf9b868-6f13-409e-aa5e-81c5d6fccbf6" targetNamespace="http://schemas.microsoft.com/office/2006/metadata/properties" ma:root="true" ma:fieldsID="10c5c4f0706ceb503201ea99b8ae5892" ns3:_="">
    <xsd:import namespace="edf9b868-6f13-409e-aa5e-81c5d6fccb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9b868-6f13-409e-aa5e-81c5d6fcc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304B-BDF6-4BBD-920A-CD7515CF88D6}">
  <ds:schemaRefs>
    <ds:schemaRef ds:uri="http://schemas.microsoft.com/sharepoint/v3/contenttype/forms"/>
  </ds:schemaRefs>
</ds:datastoreItem>
</file>

<file path=customXml/itemProps2.xml><?xml version="1.0" encoding="utf-8"?>
<ds:datastoreItem xmlns:ds="http://schemas.openxmlformats.org/officeDocument/2006/customXml" ds:itemID="{7A5AB9F6-5DED-4326-9438-92AAF05785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18633A-CB47-44AC-8CC3-C0074B462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9b868-6f13-409e-aa5e-81c5d6fcc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A4DD-D518-40AB-AC71-2EB9F6D2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Ontario Pharmacists' Association</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Ly</dc:creator>
  <cp:keywords/>
  <dc:description/>
  <cp:lastModifiedBy>Ushma Rajdev</cp:lastModifiedBy>
  <cp:revision>2</cp:revision>
  <cp:lastPrinted>2020-07-28T20:39:00Z</cp:lastPrinted>
  <dcterms:created xsi:type="dcterms:W3CDTF">2021-03-23T18:31:00Z</dcterms:created>
  <dcterms:modified xsi:type="dcterms:W3CDTF">2021-03-23T18:31:00Z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0x0101001DA863D1C92E904AB31D541DD65C756E</vt:lpwstr>
  </property>
</Properties>
</file>